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E661" w14:textId="5B24B8A8" w:rsidR="00034F39" w:rsidRDefault="004E6A1C" w:rsidP="005515C0">
      <w:pPr>
        <w:jc w:val="both"/>
        <w:rPr>
          <w:b/>
          <w:bCs/>
          <w:color w:val="45B0E1" w:themeColor="accent1" w:themeTint="99"/>
          <w:sz w:val="28"/>
          <w:szCs w:val="28"/>
          <w:u w:val="single"/>
        </w:rPr>
      </w:pPr>
      <w:r w:rsidRPr="004E6A1C">
        <w:rPr>
          <w:b/>
          <w:bCs/>
          <w:noProof/>
          <w:color w:val="45B0E1" w:themeColor="accent1" w:themeTint="99"/>
          <w:sz w:val="28"/>
          <w:szCs w:val="28"/>
        </w:rPr>
        <w:drawing>
          <wp:inline distT="0" distB="0" distL="0" distR="0" wp14:anchorId="2ACCFB92" wp14:editId="53C1400B">
            <wp:extent cx="5175250" cy="1506820"/>
            <wp:effectExtent l="0" t="0" r="6350" b="0"/>
            <wp:docPr id="732498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498031" name="Picture 7324980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221" cy="150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E83C9" w14:textId="7F568FB3" w:rsidR="008B2FC5" w:rsidRPr="00034F39" w:rsidRDefault="005515C0" w:rsidP="005515C0">
      <w:pPr>
        <w:jc w:val="both"/>
        <w:rPr>
          <w:b/>
          <w:bCs/>
          <w:color w:val="45B0E1" w:themeColor="accent1" w:themeTint="99"/>
          <w:sz w:val="28"/>
          <w:szCs w:val="28"/>
          <w:u w:val="single"/>
        </w:rPr>
      </w:pPr>
      <w:r w:rsidRPr="008B2FC5">
        <w:rPr>
          <w:b/>
          <w:bCs/>
          <w:color w:val="45B0E1" w:themeColor="accent1" w:themeTint="99"/>
          <w:sz w:val="28"/>
          <w:szCs w:val="28"/>
          <w:u w:val="single"/>
        </w:rPr>
        <w:t>Tenant Satisfaction Measures (TSMs)</w:t>
      </w:r>
      <w:r w:rsidR="00364424" w:rsidRPr="008B2FC5">
        <w:rPr>
          <w:b/>
          <w:bCs/>
          <w:color w:val="45B0E1" w:themeColor="accent1" w:themeTint="99"/>
          <w:sz w:val="28"/>
          <w:szCs w:val="28"/>
          <w:u w:val="single"/>
        </w:rPr>
        <w:t xml:space="preserve"> 2025/26</w:t>
      </w:r>
    </w:p>
    <w:p w14:paraId="0FA05D95" w14:textId="77777777" w:rsidR="005515C0" w:rsidRDefault="005515C0" w:rsidP="005515C0">
      <w:pPr>
        <w:jc w:val="both"/>
        <w:divId w:val="1254708783"/>
        <w:rPr>
          <w:rFonts w:ascii="Aptos" w:hAnsi="Aptos" w:cs="Times New Roman"/>
        </w:rPr>
      </w:pPr>
      <w:r>
        <w:t>Each year, we submit Tenant Satisfaction Measures (TSMs) data to the Regulator of Social Housing.</w:t>
      </w:r>
    </w:p>
    <w:p w14:paraId="1632E058" w14:textId="77777777" w:rsidR="005515C0" w:rsidRDefault="005515C0" w:rsidP="005515C0">
      <w:pPr>
        <w:jc w:val="both"/>
        <w:divId w:val="1254708783"/>
      </w:pPr>
      <w:r>
        <w:t>This includes management information on areas such as:</w:t>
      </w:r>
    </w:p>
    <w:p w14:paraId="38D540D3" w14:textId="77777777" w:rsidR="005515C0" w:rsidRDefault="005515C0" w:rsidP="005515C0">
      <w:pPr>
        <w:pStyle w:val="ListParagraph"/>
        <w:numPr>
          <w:ilvl w:val="0"/>
          <w:numId w:val="2"/>
        </w:numPr>
        <w:jc w:val="both"/>
        <w:divId w:val="1254708783"/>
      </w:pPr>
      <w:r>
        <w:t>building safety checks</w:t>
      </w:r>
    </w:p>
    <w:p w14:paraId="6961F63B" w14:textId="35ABB740" w:rsidR="005515C0" w:rsidRDefault="005515C0" w:rsidP="005515C0">
      <w:pPr>
        <w:pStyle w:val="ListParagraph"/>
        <w:numPr>
          <w:ilvl w:val="0"/>
          <w:numId w:val="2"/>
        </w:numPr>
        <w:jc w:val="both"/>
        <w:divId w:val="1254708783"/>
      </w:pPr>
      <w:r>
        <w:t>repairs service</w:t>
      </w:r>
    </w:p>
    <w:p w14:paraId="6824A29C" w14:textId="77126D63" w:rsidR="005515C0" w:rsidRDefault="005515C0" w:rsidP="005515C0">
      <w:pPr>
        <w:pStyle w:val="ListParagraph"/>
        <w:numPr>
          <w:ilvl w:val="0"/>
          <w:numId w:val="2"/>
        </w:numPr>
        <w:jc w:val="both"/>
        <w:divId w:val="1254708783"/>
      </w:pPr>
      <w:r>
        <w:t>how we respond to reports of anti</w:t>
      </w:r>
      <w:r w:rsidR="008B2FC5">
        <w:t>-</w:t>
      </w:r>
      <w:r>
        <w:t>social behaviour (ASB)</w:t>
      </w:r>
    </w:p>
    <w:p w14:paraId="607F3135" w14:textId="77777777" w:rsidR="005515C0" w:rsidRDefault="005515C0" w:rsidP="005515C0">
      <w:pPr>
        <w:pStyle w:val="ListParagraph"/>
        <w:numPr>
          <w:ilvl w:val="0"/>
          <w:numId w:val="2"/>
        </w:numPr>
        <w:jc w:val="both"/>
        <w:divId w:val="1254708783"/>
      </w:pPr>
      <w:r>
        <w:t>how we manage complaints</w:t>
      </w:r>
    </w:p>
    <w:p w14:paraId="260BFC5E" w14:textId="0D507CE8" w:rsidR="00722DFD" w:rsidRDefault="005515C0" w:rsidP="005515C0">
      <w:pPr>
        <w:jc w:val="both"/>
        <w:divId w:val="1254708783"/>
      </w:pPr>
      <w:r>
        <w:t>We also report the results of our tenant satisfaction surveys, which capture tenants’ views on the services we provide.  The surveys are carried out by an independent organisation.</w:t>
      </w:r>
    </w:p>
    <w:p w14:paraId="2D02AE6A" w14:textId="77777777" w:rsidR="00034F39" w:rsidRDefault="00034F39" w:rsidP="005515C0">
      <w:pPr>
        <w:jc w:val="both"/>
        <w:divId w:val="1254708783"/>
      </w:pPr>
    </w:p>
    <w:p w14:paraId="3C132902" w14:textId="02C001F9" w:rsidR="00364424" w:rsidRPr="004E6A1C" w:rsidRDefault="00364424" w:rsidP="005515C0">
      <w:pPr>
        <w:jc w:val="both"/>
        <w:divId w:val="1254708783"/>
        <w:rPr>
          <w:b/>
          <w:bCs/>
          <w:color w:val="45B0E1" w:themeColor="accent1" w:themeTint="99"/>
          <w:u w:val="single"/>
        </w:rPr>
      </w:pPr>
      <w:r w:rsidRPr="004E6A1C">
        <w:rPr>
          <w:b/>
          <w:bCs/>
          <w:color w:val="45B0E1" w:themeColor="accent1" w:themeTint="99"/>
          <w:u w:val="single"/>
        </w:rPr>
        <w:t>Tenant Perception Survey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F44E7" w:rsidRPr="00034F39" w14:paraId="36B9EBE0" w14:textId="77777777" w:rsidTr="009F44E7">
        <w:trPr>
          <w:divId w:val="1254708783"/>
        </w:trPr>
        <w:tc>
          <w:tcPr>
            <w:tcW w:w="3005" w:type="dxa"/>
          </w:tcPr>
          <w:p w14:paraId="46417BCB" w14:textId="75F33748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TP01</w:t>
            </w:r>
          </w:p>
        </w:tc>
        <w:tc>
          <w:tcPr>
            <w:tcW w:w="3005" w:type="dxa"/>
          </w:tcPr>
          <w:p w14:paraId="593702D2" w14:textId="0E9CCF1A" w:rsidR="009F44E7" w:rsidRPr="00034F39" w:rsidRDefault="009F44E7" w:rsidP="004E6A1C">
            <w:pPr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Proportion of respondents who report that they are satisfied with the overall service from their landlord.</w:t>
            </w:r>
          </w:p>
        </w:tc>
        <w:tc>
          <w:tcPr>
            <w:tcW w:w="3006" w:type="dxa"/>
          </w:tcPr>
          <w:p w14:paraId="2E741798" w14:textId="30C1DB5C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90%</w:t>
            </w:r>
          </w:p>
        </w:tc>
      </w:tr>
      <w:tr w:rsidR="009F44E7" w:rsidRPr="00034F39" w14:paraId="7C3F683D" w14:textId="77777777" w:rsidTr="009F44E7">
        <w:trPr>
          <w:divId w:val="1254708783"/>
        </w:trPr>
        <w:tc>
          <w:tcPr>
            <w:tcW w:w="3005" w:type="dxa"/>
          </w:tcPr>
          <w:p w14:paraId="159AB90F" w14:textId="180913C5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TP02</w:t>
            </w:r>
          </w:p>
        </w:tc>
        <w:tc>
          <w:tcPr>
            <w:tcW w:w="3005" w:type="dxa"/>
          </w:tcPr>
          <w:p w14:paraId="6BBA2F44" w14:textId="2F481AA6" w:rsidR="009F44E7" w:rsidRPr="00034F39" w:rsidRDefault="009F44E7" w:rsidP="004E6A1C">
            <w:pPr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Proportion of respondents who have received a repair in the last 12 months who report that they are satisfied with the overall repairs service.</w:t>
            </w:r>
          </w:p>
        </w:tc>
        <w:tc>
          <w:tcPr>
            <w:tcW w:w="3006" w:type="dxa"/>
          </w:tcPr>
          <w:p w14:paraId="60B43418" w14:textId="7C3320FA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82%</w:t>
            </w:r>
          </w:p>
        </w:tc>
      </w:tr>
      <w:tr w:rsidR="009F44E7" w:rsidRPr="00034F39" w14:paraId="0610E150" w14:textId="77777777" w:rsidTr="009F44E7">
        <w:trPr>
          <w:divId w:val="1254708783"/>
        </w:trPr>
        <w:tc>
          <w:tcPr>
            <w:tcW w:w="3005" w:type="dxa"/>
          </w:tcPr>
          <w:p w14:paraId="278EDF1A" w14:textId="50850C62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TP03</w:t>
            </w:r>
          </w:p>
        </w:tc>
        <w:tc>
          <w:tcPr>
            <w:tcW w:w="3005" w:type="dxa"/>
          </w:tcPr>
          <w:p w14:paraId="2F11B480" w14:textId="1B38E54B" w:rsidR="009F44E7" w:rsidRPr="00034F39" w:rsidRDefault="009F44E7" w:rsidP="004E6A1C">
            <w:pPr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Proportion of respondents who have received a repair in the last 12 months who report that they are satisfied with the time taken to complete their most recent repair.</w:t>
            </w:r>
          </w:p>
        </w:tc>
        <w:tc>
          <w:tcPr>
            <w:tcW w:w="3006" w:type="dxa"/>
          </w:tcPr>
          <w:p w14:paraId="554653FD" w14:textId="70C131FB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78%</w:t>
            </w:r>
          </w:p>
        </w:tc>
      </w:tr>
      <w:tr w:rsidR="009F44E7" w:rsidRPr="00034F39" w14:paraId="576D34F4" w14:textId="77777777" w:rsidTr="009F44E7">
        <w:trPr>
          <w:divId w:val="1254708783"/>
        </w:trPr>
        <w:tc>
          <w:tcPr>
            <w:tcW w:w="3005" w:type="dxa"/>
          </w:tcPr>
          <w:p w14:paraId="50A069B7" w14:textId="3EA74BD1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TP04</w:t>
            </w:r>
          </w:p>
        </w:tc>
        <w:tc>
          <w:tcPr>
            <w:tcW w:w="3005" w:type="dxa"/>
          </w:tcPr>
          <w:p w14:paraId="35047F67" w14:textId="33145E7A" w:rsidR="009F44E7" w:rsidRPr="00034F39" w:rsidRDefault="009F44E7" w:rsidP="004E6A1C">
            <w:pPr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 xml:space="preserve">Proportion of respondents who report that they are </w:t>
            </w:r>
            <w:r w:rsidRPr="00034F39">
              <w:rPr>
                <w:sz w:val="24"/>
                <w:szCs w:val="24"/>
              </w:rPr>
              <w:lastRenderedPageBreak/>
              <w:t>satisfied that their home is well maintained.</w:t>
            </w:r>
          </w:p>
        </w:tc>
        <w:tc>
          <w:tcPr>
            <w:tcW w:w="3006" w:type="dxa"/>
          </w:tcPr>
          <w:p w14:paraId="089857CE" w14:textId="2F794816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lastRenderedPageBreak/>
              <w:t>88%</w:t>
            </w:r>
          </w:p>
        </w:tc>
      </w:tr>
      <w:tr w:rsidR="009F44E7" w:rsidRPr="00034F39" w14:paraId="63C74CA5" w14:textId="77777777" w:rsidTr="009F44E7">
        <w:trPr>
          <w:divId w:val="1254708783"/>
        </w:trPr>
        <w:tc>
          <w:tcPr>
            <w:tcW w:w="3005" w:type="dxa"/>
          </w:tcPr>
          <w:p w14:paraId="13955A8C" w14:textId="5ACF3EB2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TP05</w:t>
            </w:r>
          </w:p>
        </w:tc>
        <w:tc>
          <w:tcPr>
            <w:tcW w:w="3005" w:type="dxa"/>
          </w:tcPr>
          <w:p w14:paraId="63BF6188" w14:textId="5BA5102C" w:rsidR="009F44E7" w:rsidRPr="00034F39" w:rsidRDefault="009F44E7" w:rsidP="004E6A1C">
            <w:pPr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Proportion of respondents who report that they are satisfied that their home is safe.</w:t>
            </w:r>
          </w:p>
        </w:tc>
        <w:tc>
          <w:tcPr>
            <w:tcW w:w="3006" w:type="dxa"/>
          </w:tcPr>
          <w:p w14:paraId="400D92D8" w14:textId="666A5C32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87%</w:t>
            </w:r>
          </w:p>
        </w:tc>
      </w:tr>
      <w:tr w:rsidR="009F44E7" w:rsidRPr="00034F39" w14:paraId="2DC632FD" w14:textId="77777777" w:rsidTr="009F44E7">
        <w:trPr>
          <w:divId w:val="1254708783"/>
        </w:trPr>
        <w:tc>
          <w:tcPr>
            <w:tcW w:w="3005" w:type="dxa"/>
          </w:tcPr>
          <w:p w14:paraId="6FD45086" w14:textId="195FDFCE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TP06</w:t>
            </w:r>
          </w:p>
        </w:tc>
        <w:tc>
          <w:tcPr>
            <w:tcW w:w="3005" w:type="dxa"/>
          </w:tcPr>
          <w:p w14:paraId="3F2204D0" w14:textId="0E199C0F" w:rsidR="009F44E7" w:rsidRPr="00034F39" w:rsidRDefault="009F44E7" w:rsidP="004E6A1C">
            <w:pPr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Proportion of respondents who report that they are satisfied that their landlord listens to tenant views and acts upon them.</w:t>
            </w:r>
          </w:p>
        </w:tc>
        <w:tc>
          <w:tcPr>
            <w:tcW w:w="3006" w:type="dxa"/>
          </w:tcPr>
          <w:p w14:paraId="171F7B34" w14:textId="0784A419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89%</w:t>
            </w:r>
          </w:p>
        </w:tc>
      </w:tr>
      <w:tr w:rsidR="009F44E7" w:rsidRPr="00034F39" w14:paraId="4629E9AD" w14:textId="77777777" w:rsidTr="009F44E7">
        <w:trPr>
          <w:divId w:val="1254708783"/>
        </w:trPr>
        <w:tc>
          <w:tcPr>
            <w:tcW w:w="3005" w:type="dxa"/>
          </w:tcPr>
          <w:p w14:paraId="02AA60C0" w14:textId="069812DA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TP06</w:t>
            </w:r>
          </w:p>
        </w:tc>
        <w:tc>
          <w:tcPr>
            <w:tcW w:w="3005" w:type="dxa"/>
          </w:tcPr>
          <w:p w14:paraId="5D4E5182" w14:textId="7564D965" w:rsidR="009F44E7" w:rsidRPr="00034F39" w:rsidRDefault="009F44E7" w:rsidP="004E6A1C">
            <w:pPr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Proportion of respondents who report that they are satisfied that their landlord listens to tenant views and acts upon them.</w:t>
            </w:r>
          </w:p>
        </w:tc>
        <w:tc>
          <w:tcPr>
            <w:tcW w:w="3006" w:type="dxa"/>
          </w:tcPr>
          <w:p w14:paraId="2099C511" w14:textId="347F2F8D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89%</w:t>
            </w:r>
          </w:p>
        </w:tc>
      </w:tr>
      <w:tr w:rsidR="009F44E7" w:rsidRPr="00034F39" w14:paraId="71A3D548" w14:textId="77777777" w:rsidTr="009F44E7">
        <w:trPr>
          <w:divId w:val="1254708783"/>
        </w:trPr>
        <w:tc>
          <w:tcPr>
            <w:tcW w:w="3005" w:type="dxa"/>
          </w:tcPr>
          <w:p w14:paraId="50F67D25" w14:textId="1317D86A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TP07</w:t>
            </w:r>
          </w:p>
        </w:tc>
        <w:tc>
          <w:tcPr>
            <w:tcW w:w="3005" w:type="dxa"/>
          </w:tcPr>
          <w:p w14:paraId="1B2BD27B" w14:textId="14D61C39" w:rsidR="009F44E7" w:rsidRPr="00034F39" w:rsidRDefault="009F44E7" w:rsidP="004E6A1C">
            <w:pPr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Proportion of respondents who report that they are satisfied that their landlord keeps them informed about things that matter to them.</w:t>
            </w:r>
          </w:p>
        </w:tc>
        <w:tc>
          <w:tcPr>
            <w:tcW w:w="3006" w:type="dxa"/>
          </w:tcPr>
          <w:p w14:paraId="7B366A95" w14:textId="750575A5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92%</w:t>
            </w:r>
          </w:p>
        </w:tc>
      </w:tr>
      <w:tr w:rsidR="009F44E7" w:rsidRPr="00034F39" w14:paraId="54397005" w14:textId="77777777" w:rsidTr="009F44E7">
        <w:trPr>
          <w:divId w:val="1254708783"/>
        </w:trPr>
        <w:tc>
          <w:tcPr>
            <w:tcW w:w="3005" w:type="dxa"/>
          </w:tcPr>
          <w:p w14:paraId="353A0E70" w14:textId="6D7F2AF5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TP08</w:t>
            </w:r>
          </w:p>
        </w:tc>
        <w:tc>
          <w:tcPr>
            <w:tcW w:w="3005" w:type="dxa"/>
          </w:tcPr>
          <w:p w14:paraId="0F48AC17" w14:textId="429FE81F" w:rsidR="009F44E7" w:rsidRPr="00034F39" w:rsidRDefault="009F44E7" w:rsidP="004E6A1C">
            <w:pPr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Proportion of respondents who report that they agree their landlord treats them fairly and with respect.</w:t>
            </w:r>
          </w:p>
        </w:tc>
        <w:tc>
          <w:tcPr>
            <w:tcW w:w="3006" w:type="dxa"/>
          </w:tcPr>
          <w:p w14:paraId="71FEBA2E" w14:textId="0B98D57E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92%</w:t>
            </w:r>
          </w:p>
        </w:tc>
      </w:tr>
      <w:tr w:rsidR="009F44E7" w:rsidRPr="00034F39" w14:paraId="65D573FD" w14:textId="77777777" w:rsidTr="009F44E7">
        <w:trPr>
          <w:divId w:val="1254708783"/>
        </w:trPr>
        <w:tc>
          <w:tcPr>
            <w:tcW w:w="3005" w:type="dxa"/>
          </w:tcPr>
          <w:p w14:paraId="3A8B4CA7" w14:textId="0142E94A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TP09</w:t>
            </w:r>
          </w:p>
        </w:tc>
        <w:tc>
          <w:tcPr>
            <w:tcW w:w="3005" w:type="dxa"/>
          </w:tcPr>
          <w:p w14:paraId="0D087E89" w14:textId="7EFC7D4B" w:rsidR="009F44E7" w:rsidRPr="00034F39" w:rsidRDefault="009F44E7" w:rsidP="004E6A1C">
            <w:pPr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Proportion of respondents who report making a complaint in the last 12 months who are satisfied with their landlord’s approach to complaints handling.</w:t>
            </w:r>
          </w:p>
        </w:tc>
        <w:tc>
          <w:tcPr>
            <w:tcW w:w="3006" w:type="dxa"/>
          </w:tcPr>
          <w:p w14:paraId="19EAF569" w14:textId="231D4508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F44E7" w:rsidRPr="00034F39" w14:paraId="198B151D" w14:textId="77777777" w:rsidTr="009F44E7">
        <w:trPr>
          <w:divId w:val="1254708783"/>
        </w:trPr>
        <w:tc>
          <w:tcPr>
            <w:tcW w:w="3005" w:type="dxa"/>
          </w:tcPr>
          <w:p w14:paraId="48CFAF9D" w14:textId="375F960B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TP10</w:t>
            </w:r>
          </w:p>
        </w:tc>
        <w:tc>
          <w:tcPr>
            <w:tcW w:w="3005" w:type="dxa"/>
          </w:tcPr>
          <w:p w14:paraId="6290F9CB" w14:textId="690BE34F" w:rsidR="009F44E7" w:rsidRPr="00034F39" w:rsidRDefault="009F44E7" w:rsidP="004E6A1C">
            <w:pPr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Proportion of respondents with communal areas who report that they are satisfied that their landlord keeps communal areas clean and well maintained.</w:t>
            </w:r>
          </w:p>
        </w:tc>
        <w:tc>
          <w:tcPr>
            <w:tcW w:w="3006" w:type="dxa"/>
          </w:tcPr>
          <w:p w14:paraId="6ECBBFD4" w14:textId="081C3A33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86%</w:t>
            </w:r>
          </w:p>
        </w:tc>
      </w:tr>
      <w:tr w:rsidR="009F44E7" w:rsidRPr="00034F39" w14:paraId="40E82553" w14:textId="77777777" w:rsidTr="009F44E7">
        <w:trPr>
          <w:divId w:val="1254708783"/>
        </w:trPr>
        <w:tc>
          <w:tcPr>
            <w:tcW w:w="3005" w:type="dxa"/>
          </w:tcPr>
          <w:p w14:paraId="07B5BEFF" w14:textId="3DF16A9A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TP11</w:t>
            </w:r>
          </w:p>
        </w:tc>
        <w:tc>
          <w:tcPr>
            <w:tcW w:w="3005" w:type="dxa"/>
          </w:tcPr>
          <w:p w14:paraId="626CFEB9" w14:textId="719378FF" w:rsidR="009F44E7" w:rsidRPr="00034F39" w:rsidRDefault="009F44E7" w:rsidP="004E6A1C">
            <w:pPr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Proportion of respondents who report that they are satisfied that their landlord makes a positive contribution to the neighbourhood.</w:t>
            </w:r>
          </w:p>
        </w:tc>
        <w:tc>
          <w:tcPr>
            <w:tcW w:w="3006" w:type="dxa"/>
          </w:tcPr>
          <w:p w14:paraId="0A74E0FE" w14:textId="4195D3C9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81%</w:t>
            </w:r>
          </w:p>
        </w:tc>
      </w:tr>
      <w:tr w:rsidR="009F44E7" w:rsidRPr="00034F39" w14:paraId="2BF0CFF1" w14:textId="77777777" w:rsidTr="009F44E7">
        <w:trPr>
          <w:divId w:val="1254708783"/>
        </w:trPr>
        <w:tc>
          <w:tcPr>
            <w:tcW w:w="3005" w:type="dxa"/>
          </w:tcPr>
          <w:p w14:paraId="7E40CCA4" w14:textId="2BEA9751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TP12</w:t>
            </w:r>
          </w:p>
        </w:tc>
        <w:tc>
          <w:tcPr>
            <w:tcW w:w="3005" w:type="dxa"/>
          </w:tcPr>
          <w:p w14:paraId="16F7A96A" w14:textId="61BBDB56" w:rsidR="009F44E7" w:rsidRPr="00034F39" w:rsidRDefault="009F44E7" w:rsidP="004E6A1C">
            <w:pPr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 xml:space="preserve">Proportion of respondents who report that they are </w:t>
            </w:r>
            <w:r w:rsidRPr="00034F39">
              <w:rPr>
                <w:sz w:val="24"/>
                <w:szCs w:val="24"/>
              </w:rPr>
              <w:lastRenderedPageBreak/>
              <w:t>satisfied with their landlord’s approach to handling anti-social behaviour.</w:t>
            </w:r>
          </w:p>
        </w:tc>
        <w:tc>
          <w:tcPr>
            <w:tcW w:w="3006" w:type="dxa"/>
          </w:tcPr>
          <w:p w14:paraId="362B0879" w14:textId="03055FDD" w:rsidR="009F44E7" w:rsidRPr="00034F39" w:rsidRDefault="009F44E7" w:rsidP="008B2FC5">
            <w:pPr>
              <w:jc w:val="both"/>
              <w:rPr>
                <w:b/>
                <w:bCs/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lastRenderedPageBreak/>
              <w:t>84%</w:t>
            </w:r>
          </w:p>
        </w:tc>
      </w:tr>
    </w:tbl>
    <w:p w14:paraId="0F99092E" w14:textId="77777777" w:rsidR="00364424" w:rsidRPr="00034F39" w:rsidRDefault="00364424" w:rsidP="005515C0">
      <w:pPr>
        <w:jc w:val="both"/>
        <w:divId w:val="1254708783"/>
      </w:pPr>
    </w:p>
    <w:p w14:paraId="7B623BF7" w14:textId="4A84E5A4" w:rsidR="008B2FC5" w:rsidRPr="00034F39" w:rsidRDefault="008B2FC5" w:rsidP="008B2FC5">
      <w:pPr>
        <w:jc w:val="both"/>
        <w:divId w:val="1254708783"/>
      </w:pPr>
      <w:r w:rsidRPr="00034F39">
        <w:t>In addition to the TSM questions, we asked three further questions specifically about the support service we provide.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8B2FC5" w:rsidRPr="00034F39" w14:paraId="61F210E1" w14:textId="77777777" w:rsidTr="005B625F">
        <w:trPr>
          <w:divId w:val="1254708783"/>
        </w:trPr>
        <w:tc>
          <w:tcPr>
            <w:tcW w:w="7508" w:type="dxa"/>
          </w:tcPr>
          <w:p w14:paraId="4F399542" w14:textId="77777777" w:rsidR="008B2FC5" w:rsidRPr="00034F39" w:rsidRDefault="008B2FC5" w:rsidP="008B2FC5">
            <w:pPr>
              <w:jc w:val="both"/>
              <w:rPr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 xml:space="preserve">Proportion of </w:t>
            </w:r>
            <w:r w:rsidR="005B625F" w:rsidRPr="00034F39">
              <w:rPr>
                <w:sz w:val="24"/>
                <w:szCs w:val="24"/>
              </w:rPr>
              <w:t>respondents</w:t>
            </w:r>
            <w:r w:rsidRPr="00034F39">
              <w:rPr>
                <w:sz w:val="24"/>
                <w:szCs w:val="24"/>
              </w:rPr>
              <w:t xml:space="preserve"> who are satisfied with their </w:t>
            </w:r>
            <w:r w:rsidR="005B625F" w:rsidRPr="00034F39">
              <w:rPr>
                <w:sz w:val="24"/>
                <w:szCs w:val="24"/>
              </w:rPr>
              <w:t>support</w:t>
            </w:r>
            <w:r w:rsidRPr="00034F39">
              <w:rPr>
                <w:sz w:val="24"/>
                <w:szCs w:val="24"/>
              </w:rPr>
              <w:t xml:space="preserve"> plan</w:t>
            </w:r>
          </w:p>
          <w:p w14:paraId="08AF38CD" w14:textId="561D3802" w:rsidR="005B625F" w:rsidRPr="00034F39" w:rsidRDefault="005B625F" w:rsidP="008B2F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4522C526" w14:textId="5266BF74" w:rsidR="008B2FC5" w:rsidRPr="00034F39" w:rsidRDefault="008B2FC5" w:rsidP="008B2FC5">
            <w:pPr>
              <w:jc w:val="both"/>
              <w:rPr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95%</w:t>
            </w:r>
          </w:p>
        </w:tc>
      </w:tr>
      <w:tr w:rsidR="008B2FC5" w:rsidRPr="00034F39" w14:paraId="387A82FD" w14:textId="77777777" w:rsidTr="005B625F">
        <w:trPr>
          <w:divId w:val="1254708783"/>
        </w:trPr>
        <w:tc>
          <w:tcPr>
            <w:tcW w:w="7508" w:type="dxa"/>
          </w:tcPr>
          <w:p w14:paraId="1E7E6BEB" w14:textId="5DC46515" w:rsidR="008B2FC5" w:rsidRPr="00034F39" w:rsidRDefault="008B2FC5" w:rsidP="008B2FC5">
            <w:pPr>
              <w:jc w:val="both"/>
              <w:rPr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 xml:space="preserve">Proportion of respondents who are satisfied with the frequency of </w:t>
            </w:r>
            <w:r w:rsidR="005B625F" w:rsidRPr="00034F39">
              <w:rPr>
                <w:sz w:val="24"/>
                <w:szCs w:val="24"/>
              </w:rPr>
              <w:t>contact</w:t>
            </w:r>
            <w:r w:rsidRPr="00034F39">
              <w:rPr>
                <w:sz w:val="24"/>
                <w:szCs w:val="24"/>
              </w:rPr>
              <w:t xml:space="preserve"> with their support worker</w:t>
            </w:r>
          </w:p>
        </w:tc>
        <w:tc>
          <w:tcPr>
            <w:tcW w:w="1508" w:type="dxa"/>
          </w:tcPr>
          <w:p w14:paraId="72FEEA96" w14:textId="7C33B199" w:rsidR="008B2FC5" w:rsidRPr="00034F39" w:rsidRDefault="008B2FC5" w:rsidP="008B2FC5">
            <w:pPr>
              <w:jc w:val="both"/>
              <w:rPr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94%</w:t>
            </w:r>
          </w:p>
        </w:tc>
      </w:tr>
      <w:tr w:rsidR="008B2FC5" w:rsidRPr="00034F39" w14:paraId="44037600" w14:textId="77777777" w:rsidTr="005B625F">
        <w:trPr>
          <w:divId w:val="1254708783"/>
        </w:trPr>
        <w:tc>
          <w:tcPr>
            <w:tcW w:w="7508" w:type="dxa"/>
          </w:tcPr>
          <w:p w14:paraId="4EFFFF8C" w14:textId="7C238D08" w:rsidR="008B2FC5" w:rsidRPr="00034F39" w:rsidRDefault="008B2FC5" w:rsidP="008B2FC5">
            <w:pPr>
              <w:jc w:val="both"/>
              <w:rPr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Proportion of respondents who are satisfied with the overall service provided by their support worker</w:t>
            </w:r>
          </w:p>
        </w:tc>
        <w:tc>
          <w:tcPr>
            <w:tcW w:w="1508" w:type="dxa"/>
          </w:tcPr>
          <w:p w14:paraId="4DFB7D51" w14:textId="68CAA406" w:rsidR="008B2FC5" w:rsidRPr="00034F39" w:rsidRDefault="008B2FC5" w:rsidP="008B2FC5">
            <w:pPr>
              <w:jc w:val="both"/>
              <w:rPr>
                <w:sz w:val="24"/>
                <w:szCs w:val="24"/>
              </w:rPr>
            </w:pPr>
            <w:r w:rsidRPr="00034F39">
              <w:rPr>
                <w:sz w:val="24"/>
                <w:szCs w:val="24"/>
              </w:rPr>
              <w:t>95%</w:t>
            </w:r>
          </w:p>
        </w:tc>
      </w:tr>
    </w:tbl>
    <w:p w14:paraId="25B2194D" w14:textId="77777777" w:rsidR="00364424" w:rsidRPr="004E6A1C" w:rsidRDefault="00364424" w:rsidP="008B2FC5">
      <w:pPr>
        <w:pStyle w:val="Heading2"/>
        <w:spacing w:before="480" w:after="120"/>
        <w:jc w:val="both"/>
        <w:divId w:val="1254708783"/>
        <w:rPr>
          <w:rFonts w:ascii="Aptos" w:hAnsi="Aptos" w:cs="Arial"/>
          <w:b/>
          <w:bCs/>
          <w:color w:val="00B0F0"/>
          <w:sz w:val="24"/>
          <w:szCs w:val="24"/>
          <w:u w:val="single"/>
        </w:rPr>
      </w:pPr>
      <w:r w:rsidRPr="004E6A1C">
        <w:rPr>
          <w:rFonts w:ascii="Aptos" w:hAnsi="Aptos" w:cs="Arial"/>
          <w:b/>
          <w:bCs/>
          <w:color w:val="00B0F0"/>
          <w:sz w:val="24"/>
          <w:szCs w:val="24"/>
          <w:u w:val="single"/>
        </w:rPr>
        <w:t>Tenant Satisfaction Measures generated from management information</w:t>
      </w:r>
    </w:p>
    <w:p w14:paraId="3C815718" w14:textId="77777777" w:rsidR="00364424" w:rsidRPr="00034F39" w:rsidRDefault="00364424" w:rsidP="008B2FC5">
      <w:pPr>
        <w:jc w:val="both"/>
        <w:divId w:val="1254708783"/>
        <w:rPr>
          <w:rFonts w:ascii="Aptos" w:hAnsi="Aptos" w:cs="Arial"/>
          <w:b/>
          <w:bCs/>
          <w:color w:val="00B0F0"/>
        </w:rPr>
      </w:pPr>
      <w:r w:rsidRPr="00034F39">
        <w:rPr>
          <w:rFonts w:ascii="Aptos" w:hAnsi="Aptos" w:cs="Arial"/>
          <w:b/>
          <w:bCs/>
          <w:color w:val="00B0F0"/>
        </w:rPr>
        <w:t>Building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1"/>
        <w:gridCol w:w="3282"/>
        <w:gridCol w:w="2963"/>
      </w:tblGrid>
      <w:tr w:rsidR="005B625F" w:rsidRPr="00034F39" w14:paraId="32621C6B" w14:textId="77777777" w:rsidTr="005B625F">
        <w:trPr>
          <w:divId w:val="1254708783"/>
        </w:trPr>
        <w:tc>
          <w:tcPr>
            <w:tcW w:w="2771" w:type="dxa"/>
          </w:tcPr>
          <w:p w14:paraId="3DF2EBC7" w14:textId="1D419432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BS01</w:t>
            </w:r>
          </w:p>
        </w:tc>
        <w:tc>
          <w:tcPr>
            <w:tcW w:w="3282" w:type="dxa"/>
          </w:tcPr>
          <w:p w14:paraId="48F70F6E" w14:textId="62003B61" w:rsidR="005B625F" w:rsidRPr="00034F39" w:rsidRDefault="005B625F" w:rsidP="004E6A1C">
            <w:pPr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Proportion of homes for which all required gas safety checks have been carried out</w:t>
            </w:r>
          </w:p>
        </w:tc>
        <w:tc>
          <w:tcPr>
            <w:tcW w:w="2963" w:type="dxa"/>
          </w:tcPr>
          <w:p w14:paraId="4917D563" w14:textId="77777777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100%</w:t>
            </w:r>
          </w:p>
        </w:tc>
      </w:tr>
      <w:tr w:rsidR="005B625F" w:rsidRPr="00034F39" w14:paraId="70370F0D" w14:textId="77777777" w:rsidTr="005B625F">
        <w:trPr>
          <w:divId w:val="1254708783"/>
        </w:trPr>
        <w:tc>
          <w:tcPr>
            <w:tcW w:w="2771" w:type="dxa"/>
          </w:tcPr>
          <w:p w14:paraId="1FD82314" w14:textId="763FAE53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BS01</w:t>
            </w:r>
          </w:p>
        </w:tc>
        <w:tc>
          <w:tcPr>
            <w:tcW w:w="3282" w:type="dxa"/>
          </w:tcPr>
          <w:p w14:paraId="78E90C76" w14:textId="2B4C0E95" w:rsidR="005B625F" w:rsidRPr="00034F39" w:rsidRDefault="005B625F" w:rsidP="004E6A1C">
            <w:pPr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Proportion of homes for which all fire risk assessments have been carried out.</w:t>
            </w:r>
          </w:p>
        </w:tc>
        <w:tc>
          <w:tcPr>
            <w:tcW w:w="2963" w:type="dxa"/>
          </w:tcPr>
          <w:p w14:paraId="1F8FF1AC" w14:textId="0979C4DB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100%</w:t>
            </w:r>
          </w:p>
        </w:tc>
      </w:tr>
      <w:tr w:rsidR="005B625F" w:rsidRPr="00034F39" w14:paraId="2DAA240C" w14:textId="77777777" w:rsidTr="005B625F">
        <w:trPr>
          <w:divId w:val="1254708783"/>
        </w:trPr>
        <w:tc>
          <w:tcPr>
            <w:tcW w:w="2771" w:type="dxa"/>
          </w:tcPr>
          <w:p w14:paraId="74186C97" w14:textId="36F0B124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BS03</w:t>
            </w:r>
          </w:p>
        </w:tc>
        <w:tc>
          <w:tcPr>
            <w:tcW w:w="3282" w:type="dxa"/>
          </w:tcPr>
          <w:p w14:paraId="0B494F13" w14:textId="41C66B8A" w:rsidR="005B625F" w:rsidRPr="00034F39" w:rsidRDefault="005B625F" w:rsidP="004E6A1C">
            <w:pPr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Proportion of homes for which all required asbestos management surveys or re-inspections have been carried out</w:t>
            </w:r>
          </w:p>
        </w:tc>
        <w:tc>
          <w:tcPr>
            <w:tcW w:w="2963" w:type="dxa"/>
          </w:tcPr>
          <w:p w14:paraId="166B4E5E" w14:textId="77777777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100%</w:t>
            </w:r>
          </w:p>
        </w:tc>
      </w:tr>
      <w:tr w:rsidR="005B625F" w:rsidRPr="00034F39" w14:paraId="76AB55AF" w14:textId="77777777" w:rsidTr="005B625F">
        <w:trPr>
          <w:divId w:val="1254708783"/>
        </w:trPr>
        <w:tc>
          <w:tcPr>
            <w:tcW w:w="2771" w:type="dxa"/>
          </w:tcPr>
          <w:p w14:paraId="006B4142" w14:textId="7B23DA7C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BS04</w:t>
            </w:r>
          </w:p>
        </w:tc>
        <w:tc>
          <w:tcPr>
            <w:tcW w:w="3282" w:type="dxa"/>
          </w:tcPr>
          <w:p w14:paraId="7335A72A" w14:textId="680AC66D" w:rsidR="005B625F" w:rsidRPr="00034F39" w:rsidRDefault="005B625F" w:rsidP="004E6A1C">
            <w:pPr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Proportion of homes for which all required legionella risk assessments have been carried out.</w:t>
            </w:r>
          </w:p>
        </w:tc>
        <w:tc>
          <w:tcPr>
            <w:tcW w:w="2963" w:type="dxa"/>
          </w:tcPr>
          <w:p w14:paraId="6C5AE90C" w14:textId="77777777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100%</w:t>
            </w:r>
          </w:p>
        </w:tc>
      </w:tr>
      <w:tr w:rsidR="005B625F" w:rsidRPr="00034F39" w14:paraId="1553B1BF" w14:textId="77777777" w:rsidTr="005B625F">
        <w:trPr>
          <w:divId w:val="1254708783"/>
        </w:trPr>
        <w:tc>
          <w:tcPr>
            <w:tcW w:w="2771" w:type="dxa"/>
          </w:tcPr>
          <w:p w14:paraId="4CB4118D" w14:textId="4288BD88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BS05</w:t>
            </w:r>
          </w:p>
        </w:tc>
        <w:tc>
          <w:tcPr>
            <w:tcW w:w="3282" w:type="dxa"/>
          </w:tcPr>
          <w:p w14:paraId="2603232C" w14:textId="2DB3258B" w:rsidR="005B625F" w:rsidRPr="00034F39" w:rsidRDefault="005B625F" w:rsidP="004E6A1C">
            <w:pPr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Proportion of homes for which all required communal passenger lift safety checks have been carried out.</w:t>
            </w:r>
          </w:p>
        </w:tc>
        <w:tc>
          <w:tcPr>
            <w:tcW w:w="2963" w:type="dxa"/>
          </w:tcPr>
          <w:p w14:paraId="6169078E" w14:textId="77777777" w:rsidR="005B625F" w:rsidRPr="00034F39" w:rsidRDefault="005B625F" w:rsidP="008B2FC5">
            <w:pPr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100%</w:t>
            </w:r>
          </w:p>
        </w:tc>
      </w:tr>
    </w:tbl>
    <w:p w14:paraId="46D6BA16" w14:textId="77777777" w:rsidR="00364424" w:rsidRPr="00034F39" w:rsidRDefault="00364424" w:rsidP="008B2FC5">
      <w:pPr>
        <w:jc w:val="both"/>
        <w:divId w:val="1254708783"/>
        <w:rPr>
          <w:rFonts w:ascii="Aptos" w:hAnsi="Aptos" w:cs="Arial"/>
          <w:color w:val="00B0F0"/>
        </w:rPr>
      </w:pPr>
    </w:p>
    <w:p w14:paraId="76098FEF" w14:textId="77777777" w:rsidR="004E6A1C" w:rsidRDefault="004E6A1C" w:rsidP="008B2FC5">
      <w:pPr>
        <w:jc w:val="both"/>
        <w:divId w:val="1254708783"/>
        <w:rPr>
          <w:rFonts w:ascii="Aptos" w:hAnsi="Aptos" w:cs="Arial"/>
          <w:b/>
          <w:bCs/>
          <w:color w:val="00B0F0"/>
        </w:rPr>
      </w:pPr>
    </w:p>
    <w:p w14:paraId="28C72826" w14:textId="77777777" w:rsidR="004E6A1C" w:rsidRDefault="004E6A1C" w:rsidP="008B2FC5">
      <w:pPr>
        <w:jc w:val="both"/>
        <w:divId w:val="1254708783"/>
        <w:rPr>
          <w:rFonts w:ascii="Aptos" w:hAnsi="Aptos" w:cs="Arial"/>
          <w:b/>
          <w:bCs/>
          <w:color w:val="00B0F0"/>
        </w:rPr>
      </w:pPr>
    </w:p>
    <w:p w14:paraId="15A41B8A" w14:textId="77777777" w:rsidR="004E6A1C" w:rsidRDefault="004E6A1C" w:rsidP="008B2FC5">
      <w:pPr>
        <w:jc w:val="both"/>
        <w:divId w:val="1254708783"/>
        <w:rPr>
          <w:rFonts w:ascii="Aptos" w:hAnsi="Aptos" w:cs="Arial"/>
          <w:b/>
          <w:bCs/>
          <w:color w:val="00B0F0"/>
        </w:rPr>
      </w:pPr>
    </w:p>
    <w:p w14:paraId="36ADC5B2" w14:textId="7B5C0E78" w:rsidR="00364424" w:rsidRPr="00034F39" w:rsidRDefault="00364424" w:rsidP="008B2FC5">
      <w:pPr>
        <w:jc w:val="both"/>
        <w:divId w:val="1254708783"/>
        <w:rPr>
          <w:rFonts w:ascii="Aptos" w:hAnsi="Aptos" w:cs="Arial"/>
          <w:b/>
          <w:bCs/>
          <w:color w:val="00B0F0"/>
        </w:rPr>
      </w:pPr>
      <w:r w:rsidRPr="00034F39">
        <w:rPr>
          <w:rFonts w:ascii="Aptos" w:hAnsi="Aptos" w:cs="Arial"/>
          <w:b/>
          <w:bCs/>
          <w:color w:val="00B0F0"/>
        </w:rPr>
        <w:lastRenderedPageBreak/>
        <w:t>Anti-Social Behaviour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3180"/>
        <w:gridCol w:w="3031"/>
      </w:tblGrid>
      <w:tr w:rsidR="005B625F" w:rsidRPr="00034F39" w14:paraId="01E53047" w14:textId="77777777" w:rsidTr="005B625F">
        <w:trPr>
          <w:divId w:val="1254708783"/>
        </w:trPr>
        <w:tc>
          <w:tcPr>
            <w:tcW w:w="2805" w:type="dxa"/>
          </w:tcPr>
          <w:p w14:paraId="275AE920" w14:textId="5D985E82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NM01 (1)</w:t>
            </w:r>
          </w:p>
        </w:tc>
        <w:tc>
          <w:tcPr>
            <w:tcW w:w="3180" w:type="dxa"/>
          </w:tcPr>
          <w:p w14:paraId="43860020" w14:textId="3ED25D87" w:rsidR="005B625F" w:rsidRPr="00034F39" w:rsidRDefault="005B625F" w:rsidP="004E6A1C">
            <w:pPr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Number of Anti-social behaviour cases opened per 1,000 homes</w:t>
            </w:r>
          </w:p>
        </w:tc>
        <w:tc>
          <w:tcPr>
            <w:tcW w:w="3031" w:type="dxa"/>
          </w:tcPr>
          <w:p w14:paraId="06BFA9E3" w14:textId="6D330C69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16.</w:t>
            </w:r>
            <w:r w:rsidR="003F431C">
              <w:rPr>
                <w:rFonts w:ascii="Aptos" w:hAnsi="Aptos" w:cs="Arial"/>
                <w:sz w:val="24"/>
                <w:szCs w:val="24"/>
              </w:rPr>
              <w:t>4</w:t>
            </w:r>
          </w:p>
        </w:tc>
      </w:tr>
      <w:tr w:rsidR="005B625F" w:rsidRPr="00034F39" w14:paraId="57CEFF9F" w14:textId="77777777" w:rsidTr="005B625F">
        <w:trPr>
          <w:divId w:val="1254708783"/>
        </w:trPr>
        <w:tc>
          <w:tcPr>
            <w:tcW w:w="2805" w:type="dxa"/>
          </w:tcPr>
          <w:p w14:paraId="64DCA8EB" w14:textId="5ADE29B7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NMO1 (2)</w:t>
            </w:r>
          </w:p>
        </w:tc>
        <w:tc>
          <w:tcPr>
            <w:tcW w:w="3180" w:type="dxa"/>
          </w:tcPr>
          <w:p w14:paraId="5079B9DB" w14:textId="65AE255F" w:rsidR="005B625F" w:rsidRPr="00034F39" w:rsidRDefault="005B625F" w:rsidP="004E6A1C">
            <w:pPr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Number of Anti-social behaviour cases that involve hate incidents opened per 1,000 homes</w:t>
            </w:r>
          </w:p>
        </w:tc>
        <w:tc>
          <w:tcPr>
            <w:tcW w:w="3031" w:type="dxa"/>
          </w:tcPr>
          <w:p w14:paraId="68DBEAE3" w14:textId="5A6FFC2C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0</w:t>
            </w:r>
          </w:p>
        </w:tc>
      </w:tr>
    </w:tbl>
    <w:p w14:paraId="3B316BF3" w14:textId="77777777" w:rsidR="00364424" w:rsidRDefault="00364424" w:rsidP="008B2FC5">
      <w:pPr>
        <w:jc w:val="both"/>
        <w:divId w:val="1254708783"/>
        <w:rPr>
          <w:rFonts w:ascii="Aptos" w:hAnsi="Aptos" w:cs="Arial"/>
          <w:b/>
          <w:bCs/>
          <w:color w:val="00B0F0"/>
        </w:rPr>
      </w:pPr>
    </w:p>
    <w:p w14:paraId="15B49D39" w14:textId="77777777" w:rsidR="00034F39" w:rsidRPr="00034F39" w:rsidRDefault="00034F39" w:rsidP="008B2FC5">
      <w:pPr>
        <w:jc w:val="both"/>
        <w:divId w:val="1254708783"/>
        <w:rPr>
          <w:rFonts w:ascii="Aptos" w:hAnsi="Aptos" w:cs="Arial"/>
          <w:b/>
          <w:bCs/>
          <w:color w:val="00B0F0"/>
        </w:rPr>
      </w:pPr>
    </w:p>
    <w:p w14:paraId="72072669" w14:textId="77777777" w:rsidR="00364424" w:rsidRPr="00034F39" w:rsidRDefault="00364424" w:rsidP="008B2FC5">
      <w:pPr>
        <w:jc w:val="both"/>
        <w:divId w:val="1254708783"/>
        <w:rPr>
          <w:rFonts w:ascii="Aptos" w:hAnsi="Aptos" w:cs="Arial"/>
          <w:b/>
          <w:bCs/>
          <w:color w:val="00B0F0"/>
        </w:rPr>
      </w:pPr>
      <w:r w:rsidRPr="00034F39">
        <w:rPr>
          <w:rFonts w:ascii="Aptos" w:hAnsi="Aptos" w:cs="Arial"/>
          <w:b/>
          <w:bCs/>
          <w:color w:val="00B0F0"/>
        </w:rPr>
        <w:t>Decent Homes Standard and Repairs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3246"/>
        <w:gridCol w:w="2997"/>
      </w:tblGrid>
      <w:tr w:rsidR="005B625F" w:rsidRPr="00034F39" w14:paraId="0E9DE3DA" w14:textId="77777777" w:rsidTr="005B625F">
        <w:trPr>
          <w:divId w:val="1254708783"/>
        </w:trPr>
        <w:tc>
          <w:tcPr>
            <w:tcW w:w="2773" w:type="dxa"/>
          </w:tcPr>
          <w:p w14:paraId="38F18D68" w14:textId="78728BF0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RP01</w:t>
            </w:r>
          </w:p>
        </w:tc>
        <w:tc>
          <w:tcPr>
            <w:tcW w:w="3246" w:type="dxa"/>
          </w:tcPr>
          <w:p w14:paraId="175981E2" w14:textId="23DB8E5F" w:rsidR="005B625F" w:rsidRPr="00034F39" w:rsidRDefault="005B625F" w:rsidP="004E6A1C">
            <w:pPr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 xml:space="preserve">Proportion of homes that do not meet the Decent Homes Standard. </w:t>
            </w:r>
          </w:p>
        </w:tc>
        <w:tc>
          <w:tcPr>
            <w:tcW w:w="2997" w:type="dxa"/>
          </w:tcPr>
          <w:p w14:paraId="5FD878C4" w14:textId="415955CB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0.2%</w:t>
            </w:r>
          </w:p>
        </w:tc>
      </w:tr>
      <w:tr w:rsidR="005B625F" w:rsidRPr="00034F39" w14:paraId="76768BB5" w14:textId="77777777" w:rsidTr="005B625F">
        <w:trPr>
          <w:divId w:val="1254708783"/>
        </w:trPr>
        <w:tc>
          <w:tcPr>
            <w:tcW w:w="2773" w:type="dxa"/>
          </w:tcPr>
          <w:p w14:paraId="69607CB1" w14:textId="5F516A03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RP02 (1)</w:t>
            </w:r>
          </w:p>
        </w:tc>
        <w:tc>
          <w:tcPr>
            <w:tcW w:w="3246" w:type="dxa"/>
          </w:tcPr>
          <w:p w14:paraId="5A3AE435" w14:textId="34DD58EC" w:rsidR="005B625F" w:rsidRPr="00034F39" w:rsidRDefault="005B625F" w:rsidP="004E6A1C">
            <w:pPr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Proportion of non-emergency responsive repairs completed within the landlord’s target timescale.</w:t>
            </w:r>
          </w:p>
        </w:tc>
        <w:tc>
          <w:tcPr>
            <w:tcW w:w="2997" w:type="dxa"/>
          </w:tcPr>
          <w:p w14:paraId="2051A012" w14:textId="759D0D53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90.6%</w:t>
            </w:r>
          </w:p>
        </w:tc>
      </w:tr>
      <w:tr w:rsidR="005B625F" w:rsidRPr="00034F39" w14:paraId="5F2A88D4" w14:textId="77777777" w:rsidTr="005B625F">
        <w:trPr>
          <w:divId w:val="1254708783"/>
        </w:trPr>
        <w:tc>
          <w:tcPr>
            <w:tcW w:w="2773" w:type="dxa"/>
          </w:tcPr>
          <w:p w14:paraId="50BEC6C7" w14:textId="52B45E66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RP02 (2)</w:t>
            </w:r>
          </w:p>
        </w:tc>
        <w:tc>
          <w:tcPr>
            <w:tcW w:w="3246" w:type="dxa"/>
          </w:tcPr>
          <w:p w14:paraId="3CDA8F4C" w14:textId="364E1AB0" w:rsidR="005B625F" w:rsidRPr="00034F39" w:rsidRDefault="005B625F" w:rsidP="004E6A1C">
            <w:pPr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Proportion of emergency responsive repairs completed within the landlord’s target timescale.</w:t>
            </w:r>
          </w:p>
        </w:tc>
        <w:tc>
          <w:tcPr>
            <w:tcW w:w="2997" w:type="dxa"/>
          </w:tcPr>
          <w:p w14:paraId="27B829DB" w14:textId="36D7D247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95.1%</w:t>
            </w:r>
          </w:p>
        </w:tc>
      </w:tr>
    </w:tbl>
    <w:p w14:paraId="33A6D740" w14:textId="77777777" w:rsidR="00722DFD" w:rsidRPr="00034F39" w:rsidRDefault="00722DFD" w:rsidP="008B2FC5">
      <w:pPr>
        <w:jc w:val="both"/>
        <w:divId w:val="1254708783"/>
        <w:rPr>
          <w:rFonts w:ascii="Aptos" w:hAnsi="Aptos" w:cs="Arial"/>
          <w:b/>
          <w:bCs/>
          <w:color w:val="00B0F0"/>
        </w:rPr>
      </w:pPr>
    </w:p>
    <w:p w14:paraId="71C8191C" w14:textId="427F95E9" w:rsidR="00364424" w:rsidRPr="00034F39" w:rsidRDefault="00364424" w:rsidP="008B2FC5">
      <w:pPr>
        <w:jc w:val="both"/>
        <w:divId w:val="1254708783"/>
        <w:rPr>
          <w:rFonts w:ascii="Aptos" w:hAnsi="Aptos" w:cs="Arial"/>
          <w:b/>
          <w:bCs/>
          <w:color w:val="00B0F0"/>
        </w:rPr>
      </w:pPr>
      <w:r w:rsidRPr="00034F39">
        <w:rPr>
          <w:rFonts w:ascii="Aptos" w:hAnsi="Aptos" w:cs="Arial"/>
          <w:b/>
          <w:bCs/>
          <w:color w:val="00B0F0"/>
        </w:rPr>
        <w:t>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9"/>
        <w:gridCol w:w="3317"/>
        <w:gridCol w:w="2960"/>
      </w:tblGrid>
      <w:tr w:rsidR="005B625F" w:rsidRPr="00034F39" w14:paraId="4A21F259" w14:textId="77777777" w:rsidTr="005B625F">
        <w:trPr>
          <w:divId w:val="1254708783"/>
        </w:trPr>
        <w:tc>
          <w:tcPr>
            <w:tcW w:w="2739" w:type="dxa"/>
          </w:tcPr>
          <w:p w14:paraId="0032FA31" w14:textId="34A29A5C" w:rsidR="005B625F" w:rsidRPr="00034F39" w:rsidRDefault="00722DFD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CH01 (1)</w:t>
            </w:r>
          </w:p>
        </w:tc>
        <w:tc>
          <w:tcPr>
            <w:tcW w:w="3317" w:type="dxa"/>
          </w:tcPr>
          <w:p w14:paraId="247843B4" w14:textId="35C9223B" w:rsidR="005B625F" w:rsidRPr="00034F39" w:rsidRDefault="005B625F" w:rsidP="004E6A1C">
            <w:pPr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Number of Stage 1 complaints received per 1,000 homes.</w:t>
            </w:r>
          </w:p>
        </w:tc>
        <w:tc>
          <w:tcPr>
            <w:tcW w:w="2960" w:type="dxa"/>
          </w:tcPr>
          <w:p w14:paraId="34CA2609" w14:textId="152A10B5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6</w:t>
            </w:r>
            <w:r w:rsidR="0070579A">
              <w:rPr>
                <w:rFonts w:ascii="Aptos" w:hAnsi="Aptos" w:cs="Arial"/>
                <w:sz w:val="24"/>
                <w:szCs w:val="24"/>
              </w:rPr>
              <w:t>4</w:t>
            </w:r>
            <w:r w:rsidRPr="00034F39">
              <w:rPr>
                <w:rFonts w:ascii="Aptos" w:hAnsi="Aptos" w:cs="Arial"/>
                <w:sz w:val="24"/>
                <w:szCs w:val="24"/>
              </w:rPr>
              <w:t>.</w:t>
            </w:r>
            <w:r w:rsidR="0070579A">
              <w:rPr>
                <w:rFonts w:ascii="Aptos" w:hAnsi="Aptos" w:cs="Arial"/>
                <w:sz w:val="24"/>
                <w:szCs w:val="24"/>
              </w:rPr>
              <w:t>2</w:t>
            </w:r>
          </w:p>
        </w:tc>
      </w:tr>
      <w:tr w:rsidR="005B625F" w:rsidRPr="00034F39" w14:paraId="0A0F6935" w14:textId="77777777" w:rsidTr="005B625F">
        <w:trPr>
          <w:divId w:val="1254708783"/>
        </w:trPr>
        <w:tc>
          <w:tcPr>
            <w:tcW w:w="2739" w:type="dxa"/>
          </w:tcPr>
          <w:p w14:paraId="3DBEC5C4" w14:textId="05CBAA0D" w:rsidR="005B625F" w:rsidRPr="00034F39" w:rsidRDefault="00722DFD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CH01 (2)</w:t>
            </w:r>
          </w:p>
        </w:tc>
        <w:tc>
          <w:tcPr>
            <w:tcW w:w="3317" w:type="dxa"/>
          </w:tcPr>
          <w:p w14:paraId="135B1A53" w14:textId="3EB4EB97" w:rsidR="005B625F" w:rsidRPr="00034F39" w:rsidRDefault="005B625F" w:rsidP="004E6A1C">
            <w:pPr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Number of Stage 2 complaints received per 1,000 homes.</w:t>
            </w:r>
          </w:p>
        </w:tc>
        <w:tc>
          <w:tcPr>
            <w:tcW w:w="2960" w:type="dxa"/>
          </w:tcPr>
          <w:p w14:paraId="290D9B66" w14:textId="09CFB8BD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8.6</w:t>
            </w:r>
          </w:p>
        </w:tc>
      </w:tr>
      <w:tr w:rsidR="005B625F" w:rsidRPr="00034F39" w14:paraId="36A0058E" w14:textId="77777777" w:rsidTr="005B625F">
        <w:trPr>
          <w:divId w:val="1254708783"/>
        </w:trPr>
        <w:tc>
          <w:tcPr>
            <w:tcW w:w="2739" w:type="dxa"/>
          </w:tcPr>
          <w:p w14:paraId="0A31C3E3" w14:textId="16DA5B80" w:rsidR="005B625F" w:rsidRPr="00034F39" w:rsidRDefault="00722DFD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CH02 (1)</w:t>
            </w:r>
          </w:p>
        </w:tc>
        <w:tc>
          <w:tcPr>
            <w:tcW w:w="3317" w:type="dxa"/>
          </w:tcPr>
          <w:p w14:paraId="0C43BEDE" w14:textId="5AB5C41F" w:rsidR="005B625F" w:rsidRPr="00034F39" w:rsidRDefault="005B625F" w:rsidP="004E6A1C">
            <w:pPr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Proportion of Stage 1 complaints responded to within the Housing Ombudsman’s Complaint Handling Code timescales.</w:t>
            </w:r>
          </w:p>
        </w:tc>
        <w:tc>
          <w:tcPr>
            <w:tcW w:w="2960" w:type="dxa"/>
          </w:tcPr>
          <w:p w14:paraId="1DFE0F5C" w14:textId="393AEFA9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90.6%</w:t>
            </w:r>
          </w:p>
        </w:tc>
      </w:tr>
      <w:tr w:rsidR="005B625F" w:rsidRPr="00034F39" w14:paraId="167125B2" w14:textId="77777777" w:rsidTr="005B625F">
        <w:trPr>
          <w:divId w:val="1254708783"/>
        </w:trPr>
        <w:tc>
          <w:tcPr>
            <w:tcW w:w="2739" w:type="dxa"/>
          </w:tcPr>
          <w:p w14:paraId="281705CC" w14:textId="437C1DB5" w:rsidR="005B625F" w:rsidRPr="00034F39" w:rsidRDefault="00722DFD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CH02 (2)</w:t>
            </w:r>
          </w:p>
        </w:tc>
        <w:tc>
          <w:tcPr>
            <w:tcW w:w="3317" w:type="dxa"/>
          </w:tcPr>
          <w:p w14:paraId="3401D6DA" w14:textId="3234A126" w:rsidR="005B625F" w:rsidRPr="00034F39" w:rsidRDefault="005B625F" w:rsidP="004E6A1C">
            <w:pPr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Proportion of Stage 2 complaints responded to within the Housing Ombudsman’s Complaints Handling Code timescales.</w:t>
            </w:r>
          </w:p>
        </w:tc>
        <w:tc>
          <w:tcPr>
            <w:tcW w:w="2960" w:type="dxa"/>
          </w:tcPr>
          <w:p w14:paraId="459C40DD" w14:textId="77777777" w:rsidR="005B625F" w:rsidRPr="00034F39" w:rsidRDefault="005B625F" w:rsidP="008B2FC5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034F39">
              <w:rPr>
                <w:rFonts w:ascii="Aptos" w:hAnsi="Aptos" w:cs="Arial"/>
                <w:sz w:val="24"/>
                <w:szCs w:val="24"/>
              </w:rPr>
              <w:t>100%</w:t>
            </w:r>
          </w:p>
        </w:tc>
      </w:tr>
    </w:tbl>
    <w:p w14:paraId="09C6AB9B" w14:textId="77777777" w:rsidR="00364424" w:rsidRPr="00034F39" w:rsidRDefault="00364424" w:rsidP="008B2FC5">
      <w:pPr>
        <w:jc w:val="both"/>
        <w:divId w:val="1254708783"/>
        <w:rPr>
          <w:rFonts w:ascii="Aptos" w:hAnsi="Aptos"/>
        </w:rPr>
      </w:pPr>
    </w:p>
    <w:sectPr w:rsidR="00364424" w:rsidRPr="00034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13E8"/>
    <w:multiLevelType w:val="multilevel"/>
    <w:tmpl w:val="4CF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D2C91"/>
    <w:multiLevelType w:val="hybridMultilevel"/>
    <w:tmpl w:val="0B40E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1456"/>
    <w:multiLevelType w:val="hybridMultilevel"/>
    <w:tmpl w:val="A87A0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73615">
    <w:abstractNumId w:val="0"/>
  </w:num>
  <w:num w:numId="2" w16cid:durableId="1912307142">
    <w:abstractNumId w:val="2"/>
  </w:num>
  <w:num w:numId="3" w16cid:durableId="28181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C0"/>
    <w:rsid w:val="000067FC"/>
    <w:rsid w:val="00034F39"/>
    <w:rsid w:val="00080256"/>
    <w:rsid w:val="00364424"/>
    <w:rsid w:val="003F431C"/>
    <w:rsid w:val="0040276C"/>
    <w:rsid w:val="004308A9"/>
    <w:rsid w:val="004E6A1C"/>
    <w:rsid w:val="005515C0"/>
    <w:rsid w:val="0058317C"/>
    <w:rsid w:val="005B625F"/>
    <w:rsid w:val="0070579A"/>
    <w:rsid w:val="00722DFD"/>
    <w:rsid w:val="008B2FC5"/>
    <w:rsid w:val="009F44E7"/>
    <w:rsid w:val="00B809C7"/>
    <w:rsid w:val="00E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0FA1"/>
  <w15:chartTrackingRefBased/>
  <w15:docId w15:val="{839A6C29-CAEB-4E02-8D2E-3BCCB8B1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5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442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0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655</Words>
  <Characters>3620</Characters>
  <Application>Microsoft Office Word</Application>
  <DocSecurity>0</DocSecurity>
  <Lines>226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Cottrell</dc:creator>
  <cp:keywords/>
  <dc:description/>
  <cp:lastModifiedBy>Stacey Murton</cp:lastModifiedBy>
  <cp:revision>4</cp:revision>
  <dcterms:created xsi:type="dcterms:W3CDTF">2026-06-10T12:22:00Z</dcterms:created>
  <dcterms:modified xsi:type="dcterms:W3CDTF">2026-06-22T09:29:00Z</dcterms:modified>
</cp:coreProperties>
</file>