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47"/>
        <w:tblW w:w="9639" w:type="dxa"/>
        <w:tblLook w:val="04A0" w:firstRow="1" w:lastRow="0" w:firstColumn="1" w:lastColumn="0" w:noHBand="0" w:noVBand="1"/>
      </w:tblPr>
      <w:tblGrid>
        <w:gridCol w:w="1330"/>
        <w:gridCol w:w="1635"/>
        <w:gridCol w:w="3123"/>
        <w:gridCol w:w="3551"/>
      </w:tblGrid>
      <w:tr w:rsidR="00B24D86" w14:paraId="2F9539AB" w14:textId="77777777" w:rsidTr="00110981">
        <w:trPr>
          <w:trHeight w:val="552"/>
        </w:trPr>
        <w:tc>
          <w:tcPr>
            <w:tcW w:w="1330" w:type="dxa"/>
            <w:tcBorders>
              <w:top w:val="single" w:sz="6" w:space="0" w:color="333333"/>
              <w:left w:val="single" w:sz="6" w:space="0" w:color="333333"/>
              <w:bottom w:val="single" w:sz="6" w:space="0" w:color="333333"/>
              <w:right w:val="single" w:sz="6" w:space="0" w:color="333333"/>
            </w:tcBorders>
            <w:shd w:val="clear" w:color="auto" w:fill="CF6BD1"/>
            <w:vAlign w:val="center"/>
          </w:tcPr>
          <w:p w14:paraId="26B2A5AD" w14:textId="77777777" w:rsidR="00B24D86" w:rsidRPr="00B24D86" w:rsidRDefault="00B24D86" w:rsidP="00E35C26">
            <w:pPr>
              <w:pStyle w:val="TableParagraph"/>
              <w:spacing w:before="76" w:line="385" w:lineRule="exact"/>
              <w:jc w:val="center"/>
              <w:rPr>
                <w:bCs/>
                <w:sz w:val="24"/>
                <w:szCs w:val="24"/>
              </w:rPr>
            </w:pPr>
            <w:r w:rsidRPr="00061CBA">
              <w:rPr>
                <w:bCs/>
                <w:color w:val="FFFFFF"/>
                <w:spacing w:val="-2"/>
                <w:sz w:val="24"/>
                <w:szCs w:val="24"/>
              </w:rPr>
              <w:t>Version</w:t>
            </w:r>
          </w:p>
        </w:tc>
        <w:tc>
          <w:tcPr>
            <w:tcW w:w="1635" w:type="dxa"/>
            <w:tcBorders>
              <w:top w:val="single" w:sz="6" w:space="0" w:color="333333"/>
              <w:left w:val="single" w:sz="6" w:space="0" w:color="333333"/>
              <w:bottom w:val="single" w:sz="6" w:space="0" w:color="333333"/>
              <w:right w:val="single" w:sz="6" w:space="0" w:color="333333"/>
            </w:tcBorders>
            <w:vAlign w:val="center"/>
          </w:tcPr>
          <w:p w14:paraId="2E8AA2DC" w14:textId="6525BCB0" w:rsidR="00B24D86" w:rsidRPr="00CB271F" w:rsidRDefault="00CB271F" w:rsidP="00B24D86">
            <w:pPr>
              <w:pStyle w:val="Default"/>
              <w:jc w:val="center"/>
              <w:rPr>
                <w:rFonts w:ascii="Poppins" w:hAnsi="Poppins" w:cs="Poppins"/>
                <w:bCs/>
              </w:rPr>
            </w:pPr>
            <w:r w:rsidRPr="00CB271F">
              <w:rPr>
                <w:rFonts w:ascii="Poppins" w:hAnsi="Poppins" w:cs="Poppins"/>
                <w:bCs/>
              </w:rPr>
              <w:t>3</w:t>
            </w:r>
          </w:p>
        </w:tc>
        <w:tc>
          <w:tcPr>
            <w:tcW w:w="3123" w:type="dxa"/>
            <w:tcBorders>
              <w:top w:val="single" w:sz="6" w:space="0" w:color="333333"/>
              <w:left w:val="single" w:sz="6" w:space="0" w:color="333333"/>
              <w:bottom w:val="single" w:sz="6" w:space="0" w:color="333333"/>
              <w:right w:val="single" w:sz="6" w:space="0" w:color="333333"/>
            </w:tcBorders>
            <w:shd w:val="clear" w:color="auto" w:fill="CF6BD1"/>
            <w:vAlign w:val="center"/>
          </w:tcPr>
          <w:p w14:paraId="17969091" w14:textId="77777777" w:rsidR="00B24D86" w:rsidRPr="00B24D86" w:rsidRDefault="00B24D86" w:rsidP="00B24D86">
            <w:pPr>
              <w:pStyle w:val="Default"/>
              <w:jc w:val="center"/>
              <w:rPr>
                <w:rFonts w:ascii="Poppins SemiBold" w:hAnsi="Poppins SemiBold" w:cs="Poppins SemiBold"/>
                <w:b/>
              </w:rPr>
            </w:pPr>
            <w:r w:rsidRPr="00B24D86">
              <w:rPr>
                <w:rFonts w:ascii="Poppins SemiBold" w:hAnsi="Poppins SemiBold" w:cs="Poppins SemiBold"/>
                <w:bCs/>
                <w:color w:val="FFFFFF"/>
              </w:rPr>
              <w:t xml:space="preserve">Developed </w:t>
            </w:r>
            <w:r w:rsidRPr="00B24D86">
              <w:rPr>
                <w:rFonts w:ascii="Poppins SemiBold" w:hAnsi="Poppins SemiBold" w:cs="Poppins SemiBold"/>
                <w:bCs/>
                <w:color w:val="FFFFFF"/>
                <w:spacing w:val="-5"/>
              </w:rPr>
              <w:t>by</w:t>
            </w:r>
          </w:p>
        </w:tc>
        <w:tc>
          <w:tcPr>
            <w:tcW w:w="3551" w:type="dxa"/>
            <w:tcBorders>
              <w:top w:val="single" w:sz="6" w:space="0" w:color="333333"/>
              <w:left w:val="single" w:sz="6" w:space="0" w:color="333333"/>
              <w:bottom w:val="single" w:sz="6" w:space="0" w:color="333333"/>
              <w:right w:val="single" w:sz="6" w:space="0" w:color="333333"/>
            </w:tcBorders>
            <w:vAlign w:val="center"/>
          </w:tcPr>
          <w:p w14:paraId="0634B876" w14:textId="28D5817F" w:rsidR="00B24D86" w:rsidRPr="004F68D2" w:rsidRDefault="005907DC" w:rsidP="004F68D2">
            <w:pPr>
              <w:spacing w:after="60"/>
              <w:jc w:val="both"/>
              <w:rPr>
                <w:rFonts w:ascii="Arial" w:hAnsi="Arial" w:cs="Arial"/>
              </w:rPr>
            </w:pPr>
            <w:r>
              <w:rPr>
                <w:rFonts w:ascii="Arial" w:hAnsi="Arial" w:cs="Arial"/>
              </w:rPr>
              <w:t>Director of Finance, Governance and Risk</w:t>
            </w:r>
          </w:p>
        </w:tc>
      </w:tr>
      <w:tr w:rsidR="00B24D86" w14:paraId="75933E76" w14:textId="77777777" w:rsidTr="00110981">
        <w:trPr>
          <w:trHeight w:val="558"/>
        </w:trPr>
        <w:tc>
          <w:tcPr>
            <w:tcW w:w="1330" w:type="dxa"/>
            <w:tcBorders>
              <w:top w:val="single" w:sz="6" w:space="0" w:color="333333"/>
              <w:left w:val="single" w:sz="6" w:space="0" w:color="333333"/>
              <w:bottom w:val="single" w:sz="6" w:space="0" w:color="333333"/>
              <w:right w:val="single" w:sz="6" w:space="0" w:color="333333"/>
            </w:tcBorders>
            <w:shd w:val="clear" w:color="auto" w:fill="CF6BD1"/>
            <w:vAlign w:val="center"/>
          </w:tcPr>
          <w:p w14:paraId="0AD234CF" w14:textId="77777777" w:rsidR="00B24D86" w:rsidRPr="00B24D86" w:rsidRDefault="00B24D86" w:rsidP="00B24D86">
            <w:pPr>
              <w:pStyle w:val="TableParagraph"/>
              <w:spacing w:before="86" w:line="385" w:lineRule="exact"/>
              <w:ind w:left="1" w:right="8"/>
              <w:jc w:val="center"/>
              <w:rPr>
                <w:bCs/>
                <w:sz w:val="24"/>
                <w:szCs w:val="24"/>
              </w:rPr>
            </w:pPr>
            <w:r w:rsidRPr="00061CBA">
              <w:rPr>
                <w:bCs/>
                <w:color w:val="FFFFFF"/>
                <w:spacing w:val="-2"/>
                <w:sz w:val="24"/>
                <w:szCs w:val="24"/>
              </w:rPr>
              <w:t>Approval</w:t>
            </w:r>
          </w:p>
        </w:tc>
        <w:tc>
          <w:tcPr>
            <w:tcW w:w="1635" w:type="dxa"/>
            <w:tcBorders>
              <w:top w:val="single" w:sz="6" w:space="0" w:color="333333"/>
              <w:left w:val="single" w:sz="6" w:space="0" w:color="333333"/>
              <w:bottom w:val="single" w:sz="6" w:space="0" w:color="333333"/>
              <w:right w:val="single" w:sz="6" w:space="0" w:color="333333"/>
            </w:tcBorders>
            <w:vAlign w:val="center"/>
          </w:tcPr>
          <w:p w14:paraId="3D409AF4" w14:textId="522CEA87" w:rsidR="00B24D86" w:rsidRPr="00170B2A" w:rsidRDefault="00170B2A" w:rsidP="00B24D86">
            <w:pPr>
              <w:pStyle w:val="Default"/>
              <w:jc w:val="center"/>
              <w:rPr>
                <w:rFonts w:ascii="Poppins" w:hAnsi="Poppins" w:cs="Poppins"/>
                <w:bCs/>
              </w:rPr>
            </w:pPr>
            <w:r w:rsidRPr="00170B2A">
              <w:rPr>
                <w:rFonts w:ascii="Poppins" w:hAnsi="Poppins" w:cs="Poppins"/>
                <w:bCs/>
              </w:rPr>
              <w:t>10/02/2026</w:t>
            </w:r>
          </w:p>
        </w:tc>
        <w:tc>
          <w:tcPr>
            <w:tcW w:w="3123" w:type="dxa"/>
            <w:tcBorders>
              <w:top w:val="single" w:sz="6" w:space="0" w:color="333333"/>
              <w:left w:val="single" w:sz="6" w:space="0" w:color="333333"/>
              <w:bottom w:val="single" w:sz="6" w:space="0" w:color="333333"/>
              <w:right w:val="single" w:sz="6" w:space="0" w:color="333333"/>
            </w:tcBorders>
            <w:shd w:val="clear" w:color="auto" w:fill="CF6BD1"/>
            <w:vAlign w:val="center"/>
          </w:tcPr>
          <w:p w14:paraId="72854D7E" w14:textId="77777777" w:rsidR="00B24D86" w:rsidRPr="00B24D86" w:rsidRDefault="00B24D86" w:rsidP="00B24D86">
            <w:pPr>
              <w:pStyle w:val="Default"/>
              <w:jc w:val="center"/>
              <w:rPr>
                <w:rFonts w:ascii="Poppins SemiBold" w:hAnsi="Poppins SemiBold" w:cs="Poppins SemiBold"/>
                <w:bCs/>
                <w:color w:val="FFFFFF" w:themeColor="background1"/>
              </w:rPr>
            </w:pPr>
            <w:r w:rsidRPr="00B24D86">
              <w:rPr>
                <w:rFonts w:ascii="Poppins SemiBold" w:hAnsi="Poppins SemiBold" w:cs="Poppins SemiBold"/>
                <w:bCs/>
                <w:color w:val="FFFFFF" w:themeColor="background1"/>
              </w:rPr>
              <w:t>In Consultation With</w:t>
            </w:r>
          </w:p>
        </w:tc>
        <w:tc>
          <w:tcPr>
            <w:tcW w:w="3551" w:type="dxa"/>
            <w:tcBorders>
              <w:top w:val="single" w:sz="6" w:space="0" w:color="333333"/>
              <w:left w:val="single" w:sz="6" w:space="0" w:color="333333"/>
              <w:bottom w:val="single" w:sz="6" w:space="0" w:color="333333"/>
              <w:right w:val="single" w:sz="6" w:space="0" w:color="333333"/>
            </w:tcBorders>
            <w:vAlign w:val="center"/>
          </w:tcPr>
          <w:p w14:paraId="7EFAC638" w14:textId="77777777" w:rsidR="00B24D86" w:rsidRPr="00B24D86" w:rsidRDefault="00B24D86" w:rsidP="00B24D86">
            <w:pPr>
              <w:pStyle w:val="Default"/>
              <w:jc w:val="center"/>
              <w:rPr>
                <w:rFonts w:ascii="Poppins SemiBold" w:hAnsi="Poppins SemiBold" w:cs="Poppins SemiBold"/>
                <w:b/>
              </w:rPr>
            </w:pPr>
          </w:p>
        </w:tc>
      </w:tr>
      <w:tr w:rsidR="00B24D86" w14:paraId="4E548BC1" w14:textId="77777777" w:rsidTr="00110981">
        <w:trPr>
          <w:trHeight w:val="397"/>
        </w:trPr>
        <w:tc>
          <w:tcPr>
            <w:tcW w:w="6088" w:type="dxa"/>
            <w:gridSpan w:val="3"/>
            <w:tcBorders>
              <w:top w:val="single" w:sz="6" w:space="0" w:color="333333"/>
              <w:left w:val="single" w:sz="6" w:space="0" w:color="333333"/>
              <w:bottom w:val="single" w:sz="6" w:space="0" w:color="333333"/>
              <w:right w:val="single" w:sz="6" w:space="0" w:color="333333"/>
            </w:tcBorders>
            <w:shd w:val="clear" w:color="auto" w:fill="CF6BD1"/>
            <w:vAlign w:val="center"/>
          </w:tcPr>
          <w:p w14:paraId="2CD03944" w14:textId="77777777" w:rsidR="00B24D86" w:rsidRPr="00B24D86" w:rsidRDefault="00B24D86" w:rsidP="00B24D86">
            <w:pPr>
              <w:pStyle w:val="Default"/>
              <w:rPr>
                <w:rFonts w:ascii="Poppins SemiBold" w:hAnsi="Poppins SemiBold" w:cs="Poppins SemiBold"/>
                <w:b/>
              </w:rPr>
            </w:pPr>
            <w:r w:rsidRPr="00061CBA">
              <w:rPr>
                <w:bCs/>
                <w:color w:val="FFFFFF"/>
                <w:sz w:val="18"/>
              </w:rPr>
              <w:t xml:space="preserve">Classification Type - (Confidential, Restricted, Internal use only, </w:t>
            </w:r>
            <w:r w:rsidRPr="00061CBA">
              <w:rPr>
                <w:bCs/>
                <w:color w:val="FFFFFF"/>
                <w:spacing w:val="-2"/>
                <w:sz w:val="18"/>
              </w:rPr>
              <w:t>None)</w:t>
            </w:r>
          </w:p>
        </w:tc>
        <w:tc>
          <w:tcPr>
            <w:tcW w:w="3551" w:type="dxa"/>
            <w:tcBorders>
              <w:top w:val="single" w:sz="6" w:space="0" w:color="333333"/>
              <w:left w:val="single" w:sz="6" w:space="0" w:color="333333"/>
              <w:bottom w:val="single" w:sz="6" w:space="0" w:color="333333"/>
              <w:right w:val="single" w:sz="6" w:space="0" w:color="333333"/>
            </w:tcBorders>
            <w:vAlign w:val="center"/>
          </w:tcPr>
          <w:p w14:paraId="4B31BE0B" w14:textId="24B8C8EC" w:rsidR="00B24D86" w:rsidRPr="005907DC" w:rsidRDefault="005907DC" w:rsidP="00B24D86">
            <w:pPr>
              <w:pStyle w:val="Default"/>
              <w:jc w:val="center"/>
              <w:rPr>
                <w:rFonts w:ascii="Poppins" w:hAnsi="Poppins" w:cs="Poppins"/>
                <w:bCs/>
              </w:rPr>
            </w:pPr>
            <w:r w:rsidRPr="005907DC">
              <w:rPr>
                <w:rFonts w:ascii="Poppins" w:hAnsi="Poppins" w:cs="Poppins"/>
                <w:bCs/>
              </w:rPr>
              <w:t>Internal Use Only</w:t>
            </w:r>
          </w:p>
        </w:tc>
      </w:tr>
    </w:tbl>
    <w:p w14:paraId="51C75344" w14:textId="16B7F9F4" w:rsidR="00F11EEB" w:rsidRPr="00902C70" w:rsidRDefault="00F11EEB" w:rsidP="00902C70">
      <w:pPr>
        <w:tabs>
          <w:tab w:val="left" w:pos="0"/>
        </w:tabs>
        <w:overflowPunct w:val="0"/>
        <w:autoSpaceDE w:val="0"/>
        <w:autoSpaceDN w:val="0"/>
        <w:adjustRightInd w:val="0"/>
        <w:jc w:val="both"/>
        <w:textAlignment w:val="baseline"/>
        <w:rPr>
          <w:rFonts w:ascii="Arial" w:hAnsi="Arial" w:cs="Arial"/>
          <w:b/>
          <w:color w:val="000000"/>
          <w:sz w:val="23"/>
          <w:szCs w:val="23"/>
          <w:lang w:val="en-US" w:eastAsia="en-US"/>
        </w:rPr>
        <w:sectPr w:rsidR="00F11EEB" w:rsidRPr="00902C70" w:rsidSect="00F11EEB">
          <w:headerReference w:type="default" r:id="rId11"/>
          <w:footerReference w:type="default" r:id="rId12"/>
          <w:type w:val="continuous"/>
          <w:pgSz w:w="11907" w:h="16839" w:code="9"/>
          <w:pgMar w:top="3119" w:right="1701" w:bottom="1134" w:left="1134" w:header="567" w:footer="510" w:gutter="0"/>
          <w:pgNumType w:start="1"/>
          <w:cols w:space="720"/>
          <w:docGrid w:linePitch="326"/>
        </w:sectPr>
      </w:pPr>
    </w:p>
    <w:p w14:paraId="4DBB0FA3" w14:textId="77777777" w:rsidR="009D2CB5" w:rsidRPr="009D2CB5" w:rsidRDefault="009D2CB5" w:rsidP="009D2CB5">
      <w:pPr>
        <w:pStyle w:val="DefaultText"/>
        <w:rPr>
          <w:rFonts w:cs="Arial"/>
          <w:b/>
          <w:sz w:val="32"/>
          <w:szCs w:val="24"/>
        </w:rPr>
      </w:pPr>
      <w:r w:rsidRPr="009D2CB5">
        <w:rPr>
          <w:rFonts w:cs="Arial"/>
          <w:b/>
          <w:sz w:val="32"/>
          <w:szCs w:val="24"/>
        </w:rPr>
        <w:t>CONTENTS</w:t>
      </w:r>
    </w:p>
    <w:p w14:paraId="1C53B1BD" w14:textId="77777777" w:rsidR="009D2CB5" w:rsidRPr="00120B5B" w:rsidRDefault="009D2CB5" w:rsidP="009D2CB5">
      <w:pPr>
        <w:pStyle w:val="DefaultText"/>
        <w:jc w:val="both"/>
        <w:rPr>
          <w:rFonts w:cs="Arial"/>
          <w:sz w:val="32"/>
          <w:szCs w:val="24"/>
          <w:u w:val="single"/>
        </w:rPr>
      </w:pP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r w:rsidRPr="00120B5B">
        <w:rPr>
          <w:rFonts w:cs="Arial"/>
          <w:sz w:val="32"/>
          <w:szCs w:val="24"/>
        </w:rPr>
        <w:tab/>
      </w:r>
    </w:p>
    <w:p w14:paraId="51D66B1D" w14:textId="4F6852FF" w:rsidR="009D2CB5" w:rsidRPr="00120B5B" w:rsidRDefault="009D2CB5" w:rsidP="009D2CB5">
      <w:pPr>
        <w:pStyle w:val="DefaultText"/>
        <w:ind w:left="567" w:hanging="567"/>
        <w:jc w:val="both"/>
        <w:rPr>
          <w:rFonts w:cs="Arial"/>
          <w:b/>
          <w:sz w:val="24"/>
          <w:u w:val="single"/>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p>
    <w:p w14:paraId="29D80E01" w14:textId="0EDE208C" w:rsidR="009D2CB5" w:rsidRPr="00120B5B" w:rsidRDefault="009D2CB5" w:rsidP="009D2CB5">
      <w:pPr>
        <w:pStyle w:val="DefaultText"/>
        <w:numPr>
          <w:ilvl w:val="0"/>
          <w:numId w:val="1"/>
        </w:numPr>
        <w:spacing w:line="360" w:lineRule="auto"/>
        <w:ind w:left="567" w:hanging="567"/>
        <w:jc w:val="both"/>
        <w:rPr>
          <w:rFonts w:cs="Arial"/>
          <w:sz w:val="24"/>
        </w:rPr>
      </w:pPr>
      <w:r w:rsidRPr="00120B5B">
        <w:rPr>
          <w:rFonts w:cs="Arial"/>
          <w:sz w:val="24"/>
        </w:rPr>
        <w:t>Introduction</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09E075D" w14:textId="7A9342A5" w:rsidR="009D2CB5" w:rsidRPr="00120B5B" w:rsidRDefault="009D2CB5" w:rsidP="009D2CB5">
      <w:pPr>
        <w:pStyle w:val="DefaultText"/>
        <w:numPr>
          <w:ilvl w:val="0"/>
          <w:numId w:val="1"/>
        </w:numPr>
        <w:spacing w:line="360" w:lineRule="auto"/>
        <w:ind w:left="567" w:hanging="567"/>
        <w:jc w:val="both"/>
        <w:rPr>
          <w:rFonts w:cs="Arial"/>
          <w:sz w:val="24"/>
        </w:rPr>
      </w:pPr>
      <w:r w:rsidRPr="00120B5B">
        <w:rPr>
          <w:rFonts w:cs="Arial"/>
          <w:sz w:val="24"/>
        </w:rPr>
        <w:t>Policy Objectives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298D742C" w14:textId="7044E783" w:rsidR="009D2CB5" w:rsidRPr="00120B5B" w:rsidRDefault="009D2CB5" w:rsidP="009D2CB5">
      <w:pPr>
        <w:pStyle w:val="DefaultText"/>
        <w:numPr>
          <w:ilvl w:val="0"/>
          <w:numId w:val="1"/>
        </w:numPr>
        <w:spacing w:line="360" w:lineRule="auto"/>
        <w:ind w:left="567" w:hanging="567"/>
        <w:jc w:val="both"/>
        <w:rPr>
          <w:rFonts w:cs="Arial"/>
          <w:sz w:val="24"/>
        </w:rPr>
      </w:pPr>
      <w:r w:rsidRPr="00120B5B">
        <w:rPr>
          <w:rFonts w:cs="Arial"/>
          <w:sz w:val="24"/>
        </w:rPr>
        <w:t>Rent and Service Charges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32AE795A" w14:textId="1E72757E" w:rsidR="009D2CB5" w:rsidRPr="00120B5B" w:rsidRDefault="009D2CB5" w:rsidP="009D2CB5">
      <w:pPr>
        <w:pStyle w:val="DefaultText"/>
        <w:spacing w:line="360" w:lineRule="auto"/>
        <w:ind w:left="567" w:hanging="567"/>
        <w:jc w:val="both"/>
        <w:rPr>
          <w:rFonts w:cs="Arial"/>
          <w:sz w:val="24"/>
        </w:rPr>
      </w:pPr>
      <w:r w:rsidRPr="00120B5B">
        <w:rPr>
          <w:rFonts w:cs="Arial"/>
          <w:b/>
          <w:sz w:val="24"/>
        </w:rPr>
        <w:t>4.</w:t>
      </w:r>
      <w:r w:rsidRPr="00120B5B">
        <w:rPr>
          <w:rFonts w:cs="Arial"/>
          <w:sz w:val="24"/>
        </w:rPr>
        <w:tab/>
        <w:t>Arrears Prevention</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A724277" w14:textId="281221A4" w:rsidR="009D2CB5" w:rsidRPr="00120B5B" w:rsidRDefault="009D2CB5" w:rsidP="009D2CB5">
      <w:pPr>
        <w:pStyle w:val="DefaultText"/>
        <w:spacing w:line="360" w:lineRule="auto"/>
        <w:ind w:left="567" w:hanging="567"/>
        <w:jc w:val="both"/>
        <w:rPr>
          <w:rFonts w:cs="Arial"/>
          <w:sz w:val="24"/>
        </w:rPr>
      </w:pPr>
      <w:r w:rsidRPr="00120B5B">
        <w:rPr>
          <w:rFonts w:cs="Arial"/>
          <w:b/>
          <w:sz w:val="24"/>
        </w:rPr>
        <w:t>5.</w:t>
      </w:r>
      <w:r w:rsidRPr="00120B5B">
        <w:rPr>
          <w:rFonts w:cs="Arial"/>
          <w:sz w:val="24"/>
        </w:rPr>
        <w:tab/>
        <w:t>Early Identification and Intervention</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3C6CC817" w14:textId="5AA15343" w:rsidR="009D2CB5" w:rsidRPr="00120B5B" w:rsidRDefault="009D2CB5" w:rsidP="009D2CB5">
      <w:pPr>
        <w:pStyle w:val="DefaultText"/>
        <w:spacing w:line="360" w:lineRule="auto"/>
        <w:ind w:left="567" w:hanging="567"/>
        <w:jc w:val="both"/>
        <w:rPr>
          <w:rFonts w:cs="Arial"/>
          <w:sz w:val="24"/>
        </w:rPr>
      </w:pPr>
      <w:r w:rsidRPr="00120B5B">
        <w:rPr>
          <w:rFonts w:cs="Arial"/>
          <w:b/>
          <w:sz w:val="24"/>
        </w:rPr>
        <w:t>6.</w:t>
      </w:r>
      <w:r w:rsidRPr="00120B5B">
        <w:rPr>
          <w:rFonts w:cs="Arial"/>
          <w:sz w:val="24"/>
        </w:rPr>
        <w:tab/>
        <w:t>Active Service Involvement</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p>
    <w:p w14:paraId="3444F3AC" w14:textId="7A042480" w:rsidR="009D2CB5" w:rsidRPr="00120B5B" w:rsidRDefault="009D2CB5" w:rsidP="009D2CB5">
      <w:pPr>
        <w:pStyle w:val="DefaultText"/>
        <w:spacing w:line="360" w:lineRule="auto"/>
        <w:ind w:left="567" w:hanging="567"/>
        <w:jc w:val="both"/>
        <w:rPr>
          <w:rFonts w:cs="Arial"/>
          <w:sz w:val="24"/>
        </w:rPr>
      </w:pPr>
      <w:r w:rsidRPr="00120B5B">
        <w:rPr>
          <w:rFonts w:cs="Arial"/>
          <w:b/>
          <w:sz w:val="24"/>
        </w:rPr>
        <w:t>7.</w:t>
      </w:r>
      <w:r w:rsidRPr="00120B5B">
        <w:rPr>
          <w:rFonts w:cs="Arial"/>
          <w:sz w:val="24"/>
        </w:rPr>
        <w:tab/>
        <w:t>Information Exchange with Local Authorities and DWP</w:t>
      </w:r>
      <w:r>
        <w:rPr>
          <w:rFonts w:cs="Arial"/>
          <w:sz w:val="24"/>
        </w:rPr>
        <w:tab/>
      </w:r>
      <w:r>
        <w:rPr>
          <w:rFonts w:cs="Arial"/>
          <w:sz w:val="24"/>
        </w:rPr>
        <w:tab/>
      </w:r>
      <w:r>
        <w:rPr>
          <w:rFonts w:cs="Arial"/>
          <w:sz w:val="24"/>
        </w:rPr>
        <w:tab/>
      </w:r>
    </w:p>
    <w:p w14:paraId="5444D4BE" w14:textId="0BF949AD" w:rsidR="009D2CB5" w:rsidRPr="00120B5B" w:rsidRDefault="009D2CB5" w:rsidP="009D2CB5">
      <w:pPr>
        <w:pStyle w:val="DefaultText"/>
        <w:spacing w:line="360" w:lineRule="auto"/>
        <w:ind w:left="567" w:hanging="567"/>
        <w:jc w:val="both"/>
        <w:rPr>
          <w:rFonts w:cs="Arial"/>
          <w:sz w:val="24"/>
        </w:rPr>
      </w:pPr>
      <w:r w:rsidRPr="00120B5B">
        <w:rPr>
          <w:rFonts w:cs="Arial"/>
          <w:b/>
          <w:sz w:val="24"/>
        </w:rPr>
        <w:t>8.</w:t>
      </w:r>
      <w:r w:rsidRPr="00120B5B">
        <w:rPr>
          <w:rFonts w:cs="Arial"/>
          <w:sz w:val="24"/>
        </w:rPr>
        <w:tab/>
        <w:t>Enforcement</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FA24CE5" w14:textId="758C1908" w:rsidR="009D2CB5" w:rsidRPr="00120B5B" w:rsidRDefault="009D2CB5" w:rsidP="009D2CB5">
      <w:pPr>
        <w:pStyle w:val="DefaultText"/>
        <w:spacing w:line="360" w:lineRule="auto"/>
        <w:ind w:left="567" w:hanging="567"/>
        <w:jc w:val="both"/>
        <w:rPr>
          <w:rFonts w:cs="Arial"/>
          <w:sz w:val="24"/>
        </w:rPr>
      </w:pPr>
      <w:r w:rsidRPr="00120B5B">
        <w:rPr>
          <w:rFonts w:cs="Arial"/>
          <w:b/>
          <w:sz w:val="24"/>
        </w:rPr>
        <w:t>9.</w:t>
      </w:r>
      <w:r w:rsidRPr="00120B5B">
        <w:rPr>
          <w:rFonts w:cs="Arial"/>
          <w:sz w:val="24"/>
        </w:rPr>
        <w:tab/>
        <w:t>Former Residency Arrears and Repayment of Rent Arrears</w:t>
      </w:r>
      <w:r>
        <w:rPr>
          <w:rFonts w:cs="Arial"/>
          <w:sz w:val="24"/>
        </w:rPr>
        <w:tab/>
      </w:r>
      <w:r>
        <w:rPr>
          <w:rFonts w:cs="Arial"/>
          <w:sz w:val="24"/>
        </w:rPr>
        <w:tab/>
      </w:r>
    </w:p>
    <w:p w14:paraId="406CDF28" w14:textId="1AA94809" w:rsidR="009D2CB5" w:rsidRPr="00120B5B" w:rsidRDefault="009D2CB5" w:rsidP="009D2CB5">
      <w:pPr>
        <w:pStyle w:val="DefaultText"/>
        <w:spacing w:line="360" w:lineRule="auto"/>
        <w:ind w:left="567" w:hanging="567"/>
        <w:jc w:val="both"/>
        <w:rPr>
          <w:rFonts w:cs="Arial"/>
          <w:sz w:val="24"/>
        </w:rPr>
      </w:pPr>
      <w:r w:rsidRPr="00120B5B">
        <w:rPr>
          <w:rFonts w:cs="Arial"/>
          <w:b/>
          <w:sz w:val="24"/>
        </w:rPr>
        <w:t>10.</w:t>
      </w:r>
      <w:r w:rsidRPr="00120B5B">
        <w:rPr>
          <w:rFonts w:cs="Arial"/>
          <w:sz w:val="24"/>
        </w:rPr>
        <w:tab/>
        <w:t>Write Offs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2BB9E603" w14:textId="6B3D4C1F" w:rsidR="009D2CB5" w:rsidRPr="00120B5B" w:rsidRDefault="009D2CB5" w:rsidP="009D2CB5">
      <w:pPr>
        <w:pStyle w:val="DefaultText"/>
        <w:spacing w:line="360" w:lineRule="auto"/>
        <w:ind w:left="567" w:hanging="567"/>
        <w:jc w:val="both"/>
        <w:rPr>
          <w:rFonts w:cs="Arial"/>
          <w:sz w:val="24"/>
        </w:rPr>
      </w:pPr>
      <w:r w:rsidRPr="00120B5B">
        <w:rPr>
          <w:rFonts w:cs="Arial"/>
          <w:b/>
          <w:sz w:val="24"/>
        </w:rPr>
        <w:t>11.</w:t>
      </w:r>
      <w:r w:rsidRPr="00120B5B">
        <w:rPr>
          <w:rFonts w:cs="Arial"/>
          <w:sz w:val="24"/>
        </w:rPr>
        <w:tab/>
        <w:t>Systems and Processes</w:t>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15B9CAD2" w14:textId="299E2CB6" w:rsidR="009D2CB5" w:rsidRPr="00120B5B" w:rsidRDefault="009D2CB5" w:rsidP="009D2CB5">
      <w:pPr>
        <w:pStyle w:val="DefaultText"/>
        <w:spacing w:line="360" w:lineRule="auto"/>
        <w:ind w:left="567" w:hanging="567"/>
        <w:jc w:val="both"/>
        <w:rPr>
          <w:rFonts w:cs="Arial"/>
          <w:sz w:val="24"/>
        </w:rPr>
      </w:pPr>
      <w:r w:rsidRPr="00120B5B">
        <w:rPr>
          <w:rFonts w:cs="Arial"/>
          <w:b/>
          <w:sz w:val="24"/>
        </w:rPr>
        <w:t>12</w:t>
      </w:r>
      <w:r>
        <w:rPr>
          <w:rFonts w:cs="Arial"/>
          <w:sz w:val="24"/>
        </w:rPr>
        <w:t xml:space="preserve">.    </w:t>
      </w:r>
      <w:r w:rsidRPr="00120B5B">
        <w:rPr>
          <w:rFonts w:cs="Arial"/>
          <w:sz w:val="24"/>
        </w:rPr>
        <w:t>Monitoring, Reporting and Performance Targets</w:t>
      </w:r>
      <w:r>
        <w:rPr>
          <w:rFonts w:cs="Arial"/>
          <w:sz w:val="24"/>
        </w:rPr>
        <w:tab/>
      </w:r>
      <w:r>
        <w:rPr>
          <w:rFonts w:cs="Arial"/>
          <w:sz w:val="24"/>
        </w:rPr>
        <w:tab/>
      </w:r>
      <w:r>
        <w:rPr>
          <w:rFonts w:cs="Arial"/>
          <w:sz w:val="24"/>
        </w:rPr>
        <w:tab/>
      </w:r>
      <w:r>
        <w:rPr>
          <w:rFonts w:cs="Arial"/>
          <w:sz w:val="24"/>
        </w:rPr>
        <w:tab/>
      </w:r>
    </w:p>
    <w:p w14:paraId="13A6A9F1" w14:textId="77777777" w:rsidR="009D2CB5" w:rsidRPr="00120B5B" w:rsidRDefault="009D2CB5" w:rsidP="009D2CB5">
      <w:pPr>
        <w:pStyle w:val="DefaultText"/>
        <w:spacing w:line="360" w:lineRule="auto"/>
        <w:ind w:left="1440" w:hanging="720"/>
        <w:jc w:val="both"/>
        <w:rPr>
          <w:rFonts w:cs="Arial"/>
        </w:rPr>
      </w:pPr>
    </w:p>
    <w:p w14:paraId="7BD2393F" w14:textId="77777777" w:rsidR="009D2CB5" w:rsidRPr="00120B5B" w:rsidRDefault="009D2CB5" w:rsidP="009D2CB5">
      <w:pPr>
        <w:pStyle w:val="DefaultText"/>
        <w:spacing w:line="360" w:lineRule="auto"/>
        <w:jc w:val="both"/>
        <w:rPr>
          <w:rFonts w:cs="Arial"/>
        </w:rPr>
      </w:pPr>
    </w:p>
    <w:p w14:paraId="4AEB16A7" w14:textId="77777777" w:rsidR="009D2CB5" w:rsidRPr="00120B5B" w:rsidRDefault="009D2CB5" w:rsidP="009D2CB5">
      <w:pPr>
        <w:pStyle w:val="DefaultText"/>
        <w:spacing w:line="360" w:lineRule="auto"/>
        <w:ind w:left="1440" w:hanging="720"/>
        <w:jc w:val="both"/>
        <w:rPr>
          <w:rFonts w:cs="Arial"/>
        </w:rPr>
      </w:pPr>
    </w:p>
    <w:p w14:paraId="37D0ECBF" w14:textId="77777777" w:rsidR="009D2CB5" w:rsidRPr="00120B5B" w:rsidRDefault="009D2CB5" w:rsidP="009D2CB5">
      <w:pPr>
        <w:pStyle w:val="DefaultText"/>
        <w:jc w:val="both"/>
        <w:rPr>
          <w:rFonts w:cs="Arial"/>
        </w:rPr>
      </w:pPr>
    </w:p>
    <w:p w14:paraId="65171A53" w14:textId="77777777" w:rsidR="009D2CB5" w:rsidRDefault="009D2CB5" w:rsidP="009D2CB5">
      <w:pPr>
        <w:rPr>
          <w:rFonts w:ascii="Arial" w:hAnsi="Arial" w:cs="Arial"/>
        </w:rPr>
      </w:pPr>
    </w:p>
    <w:p w14:paraId="4259D22C" w14:textId="77777777" w:rsidR="009D2CB5" w:rsidRDefault="009D2CB5" w:rsidP="009D2CB5">
      <w:pPr>
        <w:rPr>
          <w:rFonts w:ascii="Arial" w:hAnsi="Arial" w:cs="Arial"/>
        </w:rPr>
      </w:pPr>
    </w:p>
    <w:p w14:paraId="0AE0AAAB" w14:textId="77777777" w:rsidR="009D2CB5" w:rsidRDefault="009D2CB5" w:rsidP="009D2CB5">
      <w:pPr>
        <w:rPr>
          <w:rFonts w:ascii="Arial" w:hAnsi="Arial" w:cs="Arial"/>
        </w:rPr>
      </w:pPr>
    </w:p>
    <w:p w14:paraId="68001CF0" w14:textId="77777777" w:rsidR="009D2CB5" w:rsidRDefault="009D2CB5" w:rsidP="009D2CB5">
      <w:pPr>
        <w:rPr>
          <w:rFonts w:ascii="Arial" w:hAnsi="Arial" w:cs="Arial"/>
        </w:rPr>
      </w:pPr>
    </w:p>
    <w:p w14:paraId="67631394" w14:textId="77777777" w:rsidR="009D2CB5" w:rsidRDefault="009D2CB5" w:rsidP="009D2CB5">
      <w:pPr>
        <w:rPr>
          <w:rFonts w:ascii="Arial" w:hAnsi="Arial" w:cs="Arial"/>
        </w:rPr>
      </w:pPr>
    </w:p>
    <w:p w14:paraId="5EF30049" w14:textId="77777777" w:rsidR="009D2CB5" w:rsidRDefault="009D2CB5" w:rsidP="009D2CB5">
      <w:pPr>
        <w:rPr>
          <w:rFonts w:ascii="Arial" w:hAnsi="Arial" w:cs="Arial"/>
        </w:rPr>
      </w:pPr>
    </w:p>
    <w:p w14:paraId="2B5EE376" w14:textId="77777777" w:rsidR="009D2CB5" w:rsidRDefault="009D2CB5" w:rsidP="009D2CB5">
      <w:pPr>
        <w:rPr>
          <w:rFonts w:ascii="Arial" w:hAnsi="Arial" w:cs="Arial"/>
        </w:rPr>
      </w:pPr>
    </w:p>
    <w:p w14:paraId="7248F1C4" w14:textId="77777777" w:rsidR="009D2CB5" w:rsidRDefault="009D2CB5" w:rsidP="009D2CB5">
      <w:pPr>
        <w:rPr>
          <w:rFonts w:ascii="Arial" w:hAnsi="Arial" w:cs="Arial"/>
        </w:rPr>
      </w:pPr>
    </w:p>
    <w:p w14:paraId="736FEC7A" w14:textId="77777777" w:rsidR="009D2CB5" w:rsidRDefault="009D2CB5" w:rsidP="009D2CB5">
      <w:pPr>
        <w:rPr>
          <w:rFonts w:ascii="Arial" w:hAnsi="Arial" w:cs="Arial"/>
        </w:rPr>
      </w:pPr>
    </w:p>
    <w:p w14:paraId="27D00353" w14:textId="77777777" w:rsidR="009D2CB5" w:rsidRDefault="009D2CB5" w:rsidP="009D2CB5">
      <w:pPr>
        <w:rPr>
          <w:rFonts w:ascii="Arial" w:hAnsi="Arial" w:cs="Arial"/>
        </w:rPr>
      </w:pPr>
    </w:p>
    <w:p w14:paraId="721C5C7E" w14:textId="77777777" w:rsidR="009D2CB5" w:rsidRDefault="009D2CB5" w:rsidP="009D2CB5">
      <w:pPr>
        <w:rPr>
          <w:rFonts w:ascii="Arial" w:hAnsi="Arial" w:cs="Arial"/>
        </w:rPr>
      </w:pPr>
    </w:p>
    <w:p w14:paraId="451549B4" w14:textId="77777777" w:rsidR="009D2CB5" w:rsidRDefault="009D2CB5" w:rsidP="009D2CB5">
      <w:pPr>
        <w:rPr>
          <w:rFonts w:ascii="Arial" w:hAnsi="Arial" w:cs="Arial"/>
        </w:rPr>
      </w:pPr>
    </w:p>
    <w:p w14:paraId="5CB96903" w14:textId="77777777" w:rsidR="009D2CB5" w:rsidRDefault="009D2CB5" w:rsidP="009D2CB5">
      <w:pPr>
        <w:rPr>
          <w:rFonts w:ascii="Arial" w:hAnsi="Arial" w:cs="Arial"/>
        </w:rPr>
      </w:pPr>
    </w:p>
    <w:p w14:paraId="5FC18685" w14:textId="2EA6B43D" w:rsidR="009D2CB5" w:rsidRPr="00B32649" w:rsidRDefault="009D2CB5" w:rsidP="00B32649">
      <w:pPr>
        <w:rPr>
          <w:rFonts w:ascii="Arial" w:hAnsi="Arial" w:cs="Arial"/>
          <w:color w:val="000000"/>
          <w:sz w:val="20"/>
          <w:szCs w:val="20"/>
          <w:lang w:val="en-US" w:eastAsia="en-US"/>
        </w:rPr>
      </w:pPr>
      <w:r w:rsidRPr="00120B5B">
        <w:rPr>
          <w:rFonts w:cs="Arial"/>
        </w:rPr>
        <w:tab/>
      </w:r>
      <w:r w:rsidRPr="00120B5B">
        <w:rPr>
          <w:rFonts w:cs="Arial"/>
        </w:rPr>
        <w:tab/>
      </w:r>
      <w:r w:rsidRPr="00120B5B">
        <w:rPr>
          <w:rFonts w:cs="Arial"/>
        </w:rPr>
        <w:tab/>
      </w:r>
      <w:r w:rsidRPr="00120B5B">
        <w:rPr>
          <w:rFonts w:cs="Arial"/>
        </w:rPr>
        <w:tab/>
      </w:r>
    </w:p>
    <w:p w14:paraId="1E5282AC" w14:textId="77777777" w:rsidR="009D2CB5" w:rsidRPr="00120B5B" w:rsidRDefault="009D2CB5" w:rsidP="009D2CB5">
      <w:pPr>
        <w:pStyle w:val="ListParagraph"/>
        <w:ind w:left="0"/>
        <w:jc w:val="both"/>
        <w:rPr>
          <w:rFonts w:ascii="Arial" w:eastAsiaTheme="minorHAnsi" w:hAnsi="Arial" w:cs="Arial"/>
          <w:b/>
        </w:rPr>
      </w:pPr>
      <w:r w:rsidRPr="00120B5B">
        <w:rPr>
          <w:rFonts w:ascii="Arial" w:eastAsiaTheme="minorHAnsi" w:hAnsi="Arial" w:cs="Arial"/>
          <w:b/>
        </w:rPr>
        <w:lastRenderedPageBreak/>
        <w:t>1</w:t>
      </w:r>
      <w:r w:rsidRPr="00120B5B">
        <w:rPr>
          <w:rFonts w:ascii="Arial" w:eastAsiaTheme="minorHAnsi" w:hAnsi="Arial" w:cs="Arial"/>
          <w:b/>
        </w:rPr>
        <w:tab/>
      </w:r>
      <w:r w:rsidRPr="00120B5B">
        <w:rPr>
          <w:rFonts w:ascii="Arial" w:eastAsiaTheme="minorHAnsi" w:hAnsi="Arial" w:cs="Arial"/>
          <w:b/>
          <w:sz w:val="28"/>
        </w:rPr>
        <w:t>Introduction</w:t>
      </w:r>
    </w:p>
    <w:p w14:paraId="5E6BB89B" w14:textId="77777777" w:rsidR="009D2CB5" w:rsidRPr="00120B5B" w:rsidRDefault="009D2CB5" w:rsidP="009D2CB5">
      <w:pPr>
        <w:pStyle w:val="ListParagraph"/>
        <w:ind w:left="0"/>
        <w:jc w:val="both"/>
        <w:rPr>
          <w:rFonts w:ascii="Arial" w:hAnsi="Arial" w:cs="Arial"/>
        </w:rPr>
      </w:pPr>
    </w:p>
    <w:p w14:paraId="6595EE05" w14:textId="77777777" w:rsidR="009D2CB5" w:rsidRPr="00120B5B" w:rsidRDefault="009D2CB5" w:rsidP="009D2CB5">
      <w:pPr>
        <w:pStyle w:val="ListParagraph"/>
        <w:numPr>
          <w:ilvl w:val="1"/>
          <w:numId w:val="3"/>
        </w:numPr>
        <w:contextualSpacing/>
        <w:jc w:val="both"/>
        <w:rPr>
          <w:rFonts w:ascii="Arial" w:eastAsiaTheme="minorHAnsi" w:hAnsi="Arial" w:cs="Arial"/>
        </w:rPr>
      </w:pPr>
      <w:r w:rsidRPr="00120B5B">
        <w:rPr>
          <w:rFonts w:ascii="Arial" w:eastAsiaTheme="minorHAnsi" w:hAnsi="Arial" w:cs="Arial"/>
        </w:rPr>
        <w:t xml:space="preserve">This Policy sets out the approach Framework will follow to collect rent and service charges. The objectives seek to balance the individual needs of our residents who are often vulnerable and / or </w:t>
      </w:r>
      <w:r>
        <w:rPr>
          <w:rFonts w:ascii="Arial" w:eastAsiaTheme="minorHAnsi" w:hAnsi="Arial" w:cs="Arial"/>
        </w:rPr>
        <w:t>in receipt of</w:t>
      </w:r>
      <w:r w:rsidRPr="00120B5B">
        <w:rPr>
          <w:rFonts w:ascii="Arial" w:eastAsiaTheme="minorHAnsi" w:hAnsi="Arial" w:cs="Arial"/>
        </w:rPr>
        <w:t xml:space="preserve"> benefits or are in employment with the low operating margins of Framework and the need to maximise rental </w:t>
      </w:r>
      <w:r>
        <w:rPr>
          <w:rFonts w:ascii="Arial" w:eastAsiaTheme="minorHAnsi" w:hAnsi="Arial" w:cs="Arial"/>
        </w:rPr>
        <w:t xml:space="preserve">income </w:t>
      </w:r>
      <w:r w:rsidRPr="00120B5B">
        <w:rPr>
          <w:rFonts w:ascii="Arial" w:eastAsiaTheme="minorHAnsi" w:hAnsi="Arial" w:cs="Arial"/>
        </w:rPr>
        <w:t>to ensure the ongoing sustainability of the services and homes we provide.</w:t>
      </w:r>
    </w:p>
    <w:p w14:paraId="43D91C3E" w14:textId="77777777" w:rsidR="009D2CB5" w:rsidRPr="00120B5B" w:rsidRDefault="009D2CB5" w:rsidP="009D2CB5">
      <w:pPr>
        <w:pStyle w:val="ListParagraph"/>
        <w:jc w:val="both"/>
        <w:rPr>
          <w:rFonts w:ascii="Arial" w:eastAsiaTheme="minorHAnsi" w:hAnsi="Arial" w:cs="Arial"/>
        </w:rPr>
      </w:pPr>
    </w:p>
    <w:p w14:paraId="7B1D5BF9" w14:textId="49FAC095" w:rsidR="009D2CB5" w:rsidRPr="00120B5B" w:rsidRDefault="009D2CB5" w:rsidP="009D2CB5">
      <w:pPr>
        <w:pStyle w:val="ListParagraph"/>
        <w:numPr>
          <w:ilvl w:val="1"/>
          <w:numId w:val="3"/>
        </w:numPr>
        <w:contextualSpacing/>
        <w:jc w:val="both"/>
        <w:rPr>
          <w:rFonts w:ascii="Arial" w:eastAsiaTheme="minorHAnsi" w:hAnsi="Arial" w:cs="Arial"/>
        </w:rPr>
      </w:pPr>
      <w:r w:rsidRPr="00120B5B">
        <w:rPr>
          <w:rFonts w:ascii="Arial" w:eastAsiaTheme="minorHAnsi" w:hAnsi="Arial" w:cs="Arial"/>
        </w:rPr>
        <w:t xml:space="preserve">In working with our </w:t>
      </w:r>
      <w:r>
        <w:rPr>
          <w:rFonts w:ascii="Arial" w:eastAsiaTheme="minorHAnsi" w:hAnsi="Arial" w:cs="Arial"/>
        </w:rPr>
        <w:t xml:space="preserve">service </w:t>
      </w:r>
      <w:r w:rsidR="00B32649">
        <w:rPr>
          <w:rFonts w:ascii="Arial" w:eastAsiaTheme="minorHAnsi" w:hAnsi="Arial" w:cs="Arial"/>
        </w:rPr>
        <w:t>users,</w:t>
      </w:r>
      <w:r>
        <w:rPr>
          <w:rFonts w:ascii="Arial" w:eastAsiaTheme="minorHAnsi" w:hAnsi="Arial" w:cs="Arial"/>
        </w:rPr>
        <w:t xml:space="preserve"> </w:t>
      </w:r>
      <w:r w:rsidRPr="00120B5B">
        <w:rPr>
          <w:rFonts w:ascii="Arial" w:eastAsiaTheme="minorHAnsi" w:hAnsi="Arial" w:cs="Arial"/>
        </w:rPr>
        <w:t>we are committed to providing early intervention, advice and support to help maximise personal income</w:t>
      </w:r>
      <w:r>
        <w:rPr>
          <w:rFonts w:ascii="Arial" w:eastAsiaTheme="minorHAnsi" w:hAnsi="Arial" w:cs="Arial"/>
        </w:rPr>
        <w:t xml:space="preserve">, to </w:t>
      </w:r>
      <w:r w:rsidRPr="00120B5B">
        <w:rPr>
          <w:rFonts w:ascii="Arial" w:eastAsiaTheme="minorHAnsi" w:hAnsi="Arial" w:cs="Arial"/>
        </w:rPr>
        <w:t>pay rent and service</w:t>
      </w:r>
      <w:r>
        <w:rPr>
          <w:rFonts w:ascii="Arial" w:eastAsiaTheme="minorHAnsi" w:hAnsi="Arial" w:cs="Arial"/>
        </w:rPr>
        <w:t xml:space="preserve"> charges, and</w:t>
      </w:r>
      <w:r w:rsidRPr="00120B5B">
        <w:rPr>
          <w:rFonts w:ascii="Arial" w:eastAsiaTheme="minorHAnsi" w:hAnsi="Arial" w:cs="Arial"/>
        </w:rPr>
        <w:t xml:space="preserve"> </w:t>
      </w:r>
      <w:r w:rsidRPr="00D95E5C">
        <w:rPr>
          <w:rFonts w:ascii="Arial" w:eastAsiaTheme="minorHAnsi" w:hAnsi="Arial" w:cs="Arial"/>
        </w:rPr>
        <w:t xml:space="preserve">provide residents with the key skills required to meet the requirements of an occupancy agreement and for </w:t>
      </w:r>
      <w:r w:rsidR="00B32649" w:rsidRPr="00D95E5C">
        <w:rPr>
          <w:rFonts w:ascii="Arial" w:eastAsiaTheme="minorHAnsi" w:hAnsi="Arial" w:cs="Arial"/>
        </w:rPr>
        <w:t>future independent</w:t>
      </w:r>
      <w:r w:rsidRPr="00D95E5C">
        <w:rPr>
          <w:rFonts w:ascii="Arial" w:eastAsiaTheme="minorHAnsi" w:hAnsi="Arial" w:cs="Arial"/>
        </w:rPr>
        <w:t xml:space="preserve"> living. </w:t>
      </w:r>
    </w:p>
    <w:p w14:paraId="305E5D6A" w14:textId="77777777" w:rsidR="009D2CB5" w:rsidRPr="00120B5B" w:rsidRDefault="009D2CB5" w:rsidP="009D2CB5">
      <w:pPr>
        <w:pStyle w:val="ListParagraph"/>
        <w:rPr>
          <w:rFonts w:ascii="Arial" w:eastAsiaTheme="minorHAnsi" w:hAnsi="Arial" w:cs="Arial"/>
        </w:rPr>
      </w:pPr>
    </w:p>
    <w:p w14:paraId="2F326C06" w14:textId="77777777" w:rsidR="009D2CB5" w:rsidRPr="00543B3A" w:rsidRDefault="009D2CB5" w:rsidP="009D2CB5">
      <w:pPr>
        <w:pStyle w:val="ListParagraph"/>
        <w:numPr>
          <w:ilvl w:val="1"/>
          <w:numId w:val="3"/>
        </w:numPr>
        <w:contextualSpacing/>
        <w:jc w:val="both"/>
        <w:rPr>
          <w:rFonts w:ascii="Arial" w:eastAsiaTheme="minorHAnsi" w:hAnsi="Arial" w:cs="Arial"/>
          <w:sz w:val="60"/>
          <w:szCs w:val="60"/>
        </w:rPr>
      </w:pPr>
      <w:r w:rsidRPr="00120B5B">
        <w:rPr>
          <w:rFonts w:ascii="Arial" w:eastAsiaTheme="minorHAnsi" w:hAnsi="Arial" w:cs="Arial"/>
        </w:rPr>
        <w:t>This policy</w:t>
      </w:r>
      <w:r>
        <w:rPr>
          <w:rFonts w:ascii="Arial" w:eastAsiaTheme="minorHAnsi" w:hAnsi="Arial" w:cs="Arial"/>
        </w:rPr>
        <w:t xml:space="preserve"> applies to</w:t>
      </w:r>
      <w:r w:rsidRPr="00120B5B">
        <w:rPr>
          <w:rFonts w:ascii="Arial" w:eastAsiaTheme="minorHAnsi" w:hAnsi="Arial" w:cs="Arial"/>
        </w:rPr>
        <w:t xml:space="preserve"> </w:t>
      </w:r>
      <w:r w:rsidRPr="00D95E5C">
        <w:rPr>
          <w:rFonts w:ascii="Arial" w:eastAsiaTheme="minorHAnsi" w:hAnsi="Arial" w:cs="Arial"/>
        </w:rPr>
        <w:t>all service users living in Framework accommodation</w:t>
      </w:r>
      <w:r>
        <w:rPr>
          <w:rFonts w:ascii="Arial" w:eastAsiaTheme="minorHAnsi" w:hAnsi="Arial" w:cs="Arial"/>
        </w:rPr>
        <w:t xml:space="preserve">. </w:t>
      </w:r>
    </w:p>
    <w:p w14:paraId="3C66E4B7" w14:textId="77777777" w:rsidR="009D2CB5" w:rsidRPr="00120B5B" w:rsidRDefault="009D2CB5" w:rsidP="009D2CB5">
      <w:pPr>
        <w:pStyle w:val="ListParagraph"/>
        <w:ind w:left="0"/>
        <w:rPr>
          <w:rFonts w:ascii="Arial" w:hAnsi="Arial" w:cs="Arial"/>
          <w:b/>
          <w:u w:val="single"/>
        </w:rPr>
      </w:pPr>
    </w:p>
    <w:p w14:paraId="526125B5" w14:textId="77777777" w:rsidR="009D2CB5" w:rsidRPr="00120B5B" w:rsidRDefault="009D2CB5" w:rsidP="009D2CB5">
      <w:pPr>
        <w:pStyle w:val="ListParagraph"/>
        <w:ind w:left="0"/>
        <w:rPr>
          <w:rFonts w:ascii="Arial" w:hAnsi="Arial" w:cs="Arial"/>
          <w:b/>
        </w:rPr>
      </w:pPr>
      <w:r w:rsidRPr="00120B5B">
        <w:rPr>
          <w:rFonts w:ascii="Arial" w:hAnsi="Arial" w:cs="Arial"/>
          <w:b/>
        </w:rPr>
        <w:t>2</w:t>
      </w:r>
      <w:r w:rsidRPr="00120B5B">
        <w:rPr>
          <w:rFonts w:ascii="Arial" w:hAnsi="Arial" w:cs="Arial"/>
          <w:b/>
        </w:rPr>
        <w:tab/>
      </w:r>
      <w:r w:rsidRPr="00120B5B">
        <w:rPr>
          <w:rFonts w:ascii="Arial" w:hAnsi="Arial" w:cs="Arial"/>
          <w:b/>
          <w:sz w:val="28"/>
        </w:rPr>
        <w:t>Policy Objectives</w:t>
      </w:r>
    </w:p>
    <w:p w14:paraId="73F079CD" w14:textId="77777777" w:rsidR="009D2CB5" w:rsidRPr="00120B5B" w:rsidRDefault="009D2CB5" w:rsidP="009D2CB5">
      <w:pPr>
        <w:pStyle w:val="ListParagraph"/>
        <w:ind w:left="0"/>
        <w:rPr>
          <w:rFonts w:ascii="Arial" w:hAnsi="Arial" w:cs="Arial"/>
          <w:b/>
          <w:u w:val="single"/>
        </w:rPr>
      </w:pPr>
    </w:p>
    <w:p w14:paraId="6B7DA0A3" w14:textId="77777777" w:rsidR="009D2CB5" w:rsidRPr="00120B5B" w:rsidRDefault="009D2CB5" w:rsidP="009D2CB5">
      <w:pPr>
        <w:pStyle w:val="ListParagraph"/>
        <w:numPr>
          <w:ilvl w:val="0"/>
          <w:numId w:val="4"/>
        </w:numPr>
        <w:contextualSpacing/>
        <w:rPr>
          <w:rFonts w:ascii="Arial" w:hAnsi="Arial" w:cs="Arial"/>
        </w:rPr>
      </w:pPr>
      <w:r w:rsidRPr="00120B5B">
        <w:rPr>
          <w:rFonts w:ascii="Arial" w:hAnsi="Arial" w:cs="Arial"/>
        </w:rPr>
        <w:t>To ensure support and signposting are available to residents to help them meet their rent payment obligations</w:t>
      </w:r>
    </w:p>
    <w:p w14:paraId="4D886E19" w14:textId="328BF749" w:rsidR="009D2CB5" w:rsidRPr="00120B5B" w:rsidRDefault="009D2CB5" w:rsidP="009D2CB5">
      <w:pPr>
        <w:pStyle w:val="ListParagraph"/>
        <w:numPr>
          <w:ilvl w:val="0"/>
          <w:numId w:val="4"/>
        </w:numPr>
        <w:contextualSpacing/>
        <w:rPr>
          <w:rFonts w:ascii="Arial" w:hAnsi="Arial" w:cs="Arial"/>
        </w:rPr>
      </w:pPr>
      <w:r w:rsidRPr="00120B5B">
        <w:rPr>
          <w:rFonts w:ascii="Arial" w:hAnsi="Arial" w:cs="Arial"/>
        </w:rPr>
        <w:t xml:space="preserve">To tailor our </w:t>
      </w:r>
      <w:r>
        <w:rPr>
          <w:rFonts w:ascii="Arial" w:hAnsi="Arial" w:cs="Arial"/>
        </w:rPr>
        <w:t xml:space="preserve">approach to collection of </w:t>
      </w:r>
      <w:r w:rsidR="00B32649">
        <w:rPr>
          <w:rFonts w:ascii="Arial" w:hAnsi="Arial" w:cs="Arial"/>
        </w:rPr>
        <w:t>rent</w:t>
      </w:r>
      <w:r>
        <w:rPr>
          <w:rFonts w:ascii="Arial" w:hAnsi="Arial" w:cs="Arial"/>
        </w:rPr>
        <w:t xml:space="preserve"> and service charges in order </w:t>
      </w:r>
      <w:r w:rsidRPr="00120B5B">
        <w:rPr>
          <w:rFonts w:ascii="Arial" w:hAnsi="Arial" w:cs="Arial"/>
        </w:rPr>
        <w:t>to meet the needs of individuals whilst ensuring a consistent approach to support and enforcement</w:t>
      </w:r>
      <w:r>
        <w:rPr>
          <w:rFonts w:ascii="Arial" w:hAnsi="Arial" w:cs="Arial"/>
        </w:rPr>
        <w:t>,</w:t>
      </w:r>
      <w:r w:rsidRPr="00120B5B">
        <w:rPr>
          <w:rFonts w:ascii="Arial" w:hAnsi="Arial" w:cs="Arial"/>
        </w:rPr>
        <w:t xml:space="preserve"> </w:t>
      </w:r>
      <w:r>
        <w:rPr>
          <w:rFonts w:ascii="Arial" w:hAnsi="Arial" w:cs="Arial"/>
        </w:rPr>
        <w:t xml:space="preserve">and </w:t>
      </w:r>
      <w:r w:rsidRPr="00120B5B">
        <w:rPr>
          <w:rFonts w:ascii="Arial" w:hAnsi="Arial" w:cs="Arial"/>
        </w:rPr>
        <w:t xml:space="preserve">fair treatment for all. </w:t>
      </w:r>
    </w:p>
    <w:p w14:paraId="05F489AE" w14:textId="77777777" w:rsidR="009D2CB5" w:rsidRPr="00120B5B" w:rsidRDefault="009D2CB5" w:rsidP="009D2CB5">
      <w:pPr>
        <w:pStyle w:val="ListParagraph"/>
        <w:numPr>
          <w:ilvl w:val="0"/>
          <w:numId w:val="4"/>
        </w:numPr>
        <w:contextualSpacing/>
        <w:rPr>
          <w:rFonts w:ascii="Arial" w:hAnsi="Arial" w:cs="Arial"/>
        </w:rPr>
      </w:pPr>
      <w:r w:rsidRPr="00120B5B">
        <w:rPr>
          <w:rFonts w:ascii="Arial" w:hAnsi="Arial" w:cs="Arial"/>
        </w:rPr>
        <w:t>To ensure early identification and intervention, support</w:t>
      </w:r>
      <w:r>
        <w:rPr>
          <w:rFonts w:ascii="Arial" w:hAnsi="Arial" w:cs="Arial"/>
        </w:rPr>
        <w:t>ing</w:t>
      </w:r>
      <w:r w:rsidRPr="00120B5B">
        <w:rPr>
          <w:rFonts w:ascii="Arial" w:hAnsi="Arial" w:cs="Arial"/>
        </w:rPr>
        <w:t xml:space="preserve"> residents to prevent rent arrears and provide sustainable occupancies</w:t>
      </w:r>
      <w:r>
        <w:rPr>
          <w:rFonts w:ascii="Arial" w:hAnsi="Arial" w:cs="Arial"/>
        </w:rPr>
        <w:t>.</w:t>
      </w:r>
    </w:p>
    <w:p w14:paraId="11528E76" w14:textId="77777777" w:rsidR="009D2CB5" w:rsidRPr="00120B5B" w:rsidRDefault="009D2CB5" w:rsidP="009D2CB5">
      <w:pPr>
        <w:pStyle w:val="ListParagraph"/>
        <w:numPr>
          <w:ilvl w:val="0"/>
          <w:numId w:val="4"/>
        </w:numPr>
        <w:contextualSpacing/>
        <w:rPr>
          <w:rFonts w:ascii="Arial" w:hAnsi="Arial" w:cs="Arial"/>
        </w:rPr>
      </w:pPr>
      <w:r w:rsidRPr="00120B5B">
        <w:rPr>
          <w:rFonts w:ascii="Arial" w:hAnsi="Arial" w:cs="Arial"/>
        </w:rPr>
        <w:t xml:space="preserve">To ensure that unsustainable occupancies are ended appropriately and in a timely manner. </w:t>
      </w:r>
    </w:p>
    <w:p w14:paraId="27300BD3" w14:textId="77777777" w:rsidR="009D2CB5" w:rsidRDefault="009D2CB5" w:rsidP="009D2CB5">
      <w:pPr>
        <w:pStyle w:val="ListParagraph"/>
        <w:numPr>
          <w:ilvl w:val="0"/>
          <w:numId w:val="4"/>
        </w:numPr>
        <w:contextualSpacing/>
        <w:rPr>
          <w:rFonts w:ascii="Arial" w:hAnsi="Arial" w:cs="Arial"/>
        </w:rPr>
      </w:pPr>
      <w:r w:rsidRPr="00120B5B">
        <w:rPr>
          <w:rFonts w:ascii="Arial" w:hAnsi="Arial" w:cs="Arial"/>
        </w:rPr>
        <w:t xml:space="preserve">To collect rent and </w:t>
      </w:r>
      <w:r>
        <w:rPr>
          <w:rFonts w:ascii="Arial" w:hAnsi="Arial" w:cs="Arial"/>
        </w:rPr>
        <w:t xml:space="preserve">service charges and </w:t>
      </w:r>
      <w:r w:rsidRPr="00120B5B">
        <w:rPr>
          <w:rFonts w:ascii="Arial" w:hAnsi="Arial" w:cs="Arial"/>
        </w:rPr>
        <w:t xml:space="preserve">provide associated support in the most efficient and effective way. </w:t>
      </w:r>
    </w:p>
    <w:p w14:paraId="79427803" w14:textId="77777777" w:rsidR="009D2CB5" w:rsidRPr="00543B3A" w:rsidRDefault="009D2CB5" w:rsidP="009D2CB5">
      <w:pPr>
        <w:pStyle w:val="ListParagraph"/>
        <w:numPr>
          <w:ilvl w:val="0"/>
          <w:numId w:val="4"/>
        </w:numPr>
        <w:contextualSpacing/>
        <w:rPr>
          <w:rFonts w:ascii="Arial" w:hAnsi="Arial" w:cs="Arial"/>
        </w:rPr>
      </w:pPr>
      <w:r w:rsidRPr="00120B5B">
        <w:rPr>
          <w:rFonts w:ascii="Arial" w:hAnsi="Arial" w:cs="Arial"/>
        </w:rPr>
        <w:t>To work with stakeholders to ensure their views are represented.</w:t>
      </w:r>
    </w:p>
    <w:p w14:paraId="06030D8B" w14:textId="77777777" w:rsidR="009D2CB5" w:rsidRPr="00120B5B" w:rsidRDefault="009D2CB5" w:rsidP="009D2CB5">
      <w:pPr>
        <w:pStyle w:val="NoSpacing"/>
        <w:rPr>
          <w:rFonts w:ascii="Arial" w:hAnsi="Arial" w:cs="Arial"/>
        </w:rPr>
      </w:pPr>
    </w:p>
    <w:p w14:paraId="3E2B4A1D" w14:textId="77777777" w:rsidR="009D2CB5" w:rsidRPr="00120B5B" w:rsidRDefault="009D2CB5" w:rsidP="009D2CB5">
      <w:pPr>
        <w:pStyle w:val="NoSpacing"/>
        <w:numPr>
          <w:ilvl w:val="0"/>
          <w:numId w:val="5"/>
        </w:numPr>
        <w:ind w:hanging="720"/>
        <w:rPr>
          <w:rFonts w:ascii="Arial" w:hAnsi="Arial" w:cs="Arial"/>
          <w:b/>
          <w:sz w:val="28"/>
        </w:rPr>
      </w:pPr>
      <w:r w:rsidRPr="00120B5B">
        <w:rPr>
          <w:rFonts w:ascii="Arial" w:hAnsi="Arial" w:cs="Arial"/>
          <w:b/>
          <w:sz w:val="28"/>
        </w:rPr>
        <w:t>Rent and Service Charges</w:t>
      </w:r>
    </w:p>
    <w:p w14:paraId="1DC7125B" w14:textId="77777777" w:rsidR="009D2CB5" w:rsidRPr="00120B5B" w:rsidRDefault="009D2CB5" w:rsidP="009D2CB5">
      <w:pPr>
        <w:pStyle w:val="NoSpacing"/>
        <w:rPr>
          <w:rFonts w:ascii="Arial" w:hAnsi="Arial" w:cs="Arial"/>
          <w:b/>
          <w:u w:val="single"/>
        </w:rPr>
      </w:pPr>
    </w:p>
    <w:p w14:paraId="7917DC09" w14:textId="77777777" w:rsidR="009D2CB5" w:rsidRPr="00120B5B" w:rsidRDefault="009D2CB5" w:rsidP="009D2CB5">
      <w:pPr>
        <w:pStyle w:val="NoSpacing"/>
        <w:numPr>
          <w:ilvl w:val="1"/>
          <w:numId w:val="5"/>
        </w:numPr>
        <w:ind w:hanging="720"/>
        <w:jc w:val="both"/>
        <w:rPr>
          <w:rFonts w:ascii="Arial" w:hAnsi="Arial" w:cs="Arial"/>
        </w:rPr>
      </w:pPr>
      <w:r w:rsidRPr="00120B5B">
        <w:rPr>
          <w:rFonts w:ascii="Arial" w:hAnsi="Arial" w:cs="Arial"/>
        </w:rPr>
        <w:t xml:space="preserve">Rent charge levels are set to cover the legal and financial commitments of the organisation.   Service charges are set to cover service and management costs, make proper provision for future repairs, and to ensure financial viability of services after taking account grant funding or other income receivable. </w:t>
      </w:r>
    </w:p>
    <w:p w14:paraId="23614134" w14:textId="77777777" w:rsidR="009D2CB5" w:rsidRPr="00120B5B" w:rsidRDefault="009D2CB5" w:rsidP="009D2CB5">
      <w:pPr>
        <w:pStyle w:val="NoSpacing"/>
        <w:ind w:left="720"/>
        <w:jc w:val="both"/>
        <w:rPr>
          <w:rFonts w:ascii="Arial" w:hAnsi="Arial" w:cs="Arial"/>
        </w:rPr>
      </w:pPr>
    </w:p>
    <w:p w14:paraId="650F2C26" w14:textId="77777777" w:rsidR="009D2CB5" w:rsidRPr="00120B5B" w:rsidRDefault="009D2CB5" w:rsidP="009D2CB5">
      <w:pPr>
        <w:pStyle w:val="NoSpacing"/>
        <w:numPr>
          <w:ilvl w:val="1"/>
          <w:numId w:val="5"/>
        </w:numPr>
        <w:ind w:hanging="720"/>
        <w:jc w:val="both"/>
        <w:rPr>
          <w:rFonts w:ascii="Arial" w:hAnsi="Arial" w:cs="Arial"/>
        </w:rPr>
      </w:pPr>
      <w:r w:rsidRPr="00120B5B">
        <w:rPr>
          <w:rFonts w:ascii="Arial" w:hAnsi="Arial" w:cs="Arial"/>
        </w:rPr>
        <w:t>Changes in rent and service charges will be conducted in line with the</w:t>
      </w:r>
      <w:r>
        <w:rPr>
          <w:rFonts w:ascii="Arial" w:hAnsi="Arial" w:cs="Arial"/>
        </w:rPr>
        <w:t xml:space="preserve"> residents’ occupancy</w:t>
      </w:r>
      <w:r w:rsidRPr="00120B5B">
        <w:rPr>
          <w:rFonts w:ascii="Arial" w:hAnsi="Arial" w:cs="Arial"/>
        </w:rPr>
        <w:t xml:space="preserve"> agreement and statutory and regulatory requirements. </w:t>
      </w:r>
      <w:r>
        <w:rPr>
          <w:rFonts w:ascii="Arial" w:hAnsi="Arial" w:cs="Arial"/>
        </w:rPr>
        <w:t xml:space="preserve"> </w:t>
      </w:r>
    </w:p>
    <w:p w14:paraId="121D99DB" w14:textId="77777777" w:rsidR="009D2CB5" w:rsidRPr="00120B5B" w:rsidRDefault="009D2CB5" w:rsidP="009D2CB5">
      <w:pPr>
        <w:pStyle w:val="ListParagraph"/>
        <w:rPr>
          <w:rFonts w:ascii="Arial" w:hAnsi="Arial" w:cs="Arial"/>
        </w:rPr>
      </w:pPr>
    </w:p>
    <w:p w14:paraId="14A41731" w14:textId="77777777" w:rsidR="009D2CB5" w:rsidRPr="00120B5B" w:rsidRDefault="009D2CB5" w:rsidP="009D2CB5">
      <w:pPr>
        <w:pStyle w:val="NoSpacing"/>
        <w:numPr>
          <w:ilvl w:val="1"/>
          <w:numId w:val="5"/>
        </w:numPr>
        <w:ind w:hanging="720"/>
        <w:jc w:val="both"/>
        <w:rPr>
          <w:rFonts w:ascii="Arial" w:hAnsi="Arial" w:cs="Arial"/>
        </w:rPr>
      </w:pPr>
      <w:r>
        <w:rPr>
          <w:rFonts w:ascii="Arial" w:hAnsi="Arial" w:cs="Arial"/>
        </w:rPr>
        <w:t xml:space="preserve">Service charges </w:t>
      </w:r>
      <w:r w:rsidRPr="00120B5B">
        <w:rPr>
          <w:rFonts w:ascii="Arial" w:hAnsi="Arial" w:cs="Arial"/>
        </w:rPr>
        <w:t>will be reviewed should the services offered change</w:t>
      </w:r>
      <w:r>
        <w:rPr>
          <w:rFonts w:ascii="Arial" w:hAnsi="Arial" w:cs="Arial"/>
        </w:rPr>
        <w:t xml:space="preserve"> and may be reviewed not more than twice in any one year.</w:t>
      </w:r>
    </w:p>
    <w:p w14:paraId="761A61DA" w14:textId="77777777" w:rsidR="009D2CB5" w:rsidRPr="00120B5B" w:rsidRDefault="009D2CB5" w:rsidP="009D2CB5">
      <w:pPr>
        <w:rPr>
          <w:rFonts w:ascii="Arial" w:hAnsi="Arial" w:cs="Arial"/>
        </w:rPr>
      </w:pPr>
    </w:p>
    <w:p w14:paraId="6D28EB18" w14:textId="77777777" w:rsidR="009D2CB5" w:rsidRDefault="009D2CB5" w:rsidP="009D2CB5">
      <w:pPr>
        <w:pStyle w:val="NoSpacing"/>
        <w:numPr>
          <w:ilvl w:val="1"/>
          <w:numId w:val="5"/>
        </w:numPr>
        <w:ind w:hanging="720"/>
        <w:jc w:val="both"/>
        <w:rPr>
          <w:rFonts w:ascii="Arial" w:hAnsi="Arial" w:cs="Arial"/>
        </w:rPr>
      </w:pPr>
      <w:r w:rsidRPr="00120B5B">
        <w:rPr>
          <w:rFonts w:ascii="Arial" w:hAnsi="Arial" w:cs="Arial"/>
        </w:rPr>
        <w:t>Framework will provide formal notice of any rent and/or service charge increase</w:t>
      </w:r>
      <w:r>
        <w:rPr>
          <w:rFonts w:ascii="Arial" w:hAnsi="Arial" w:cs="Arial"/>
        </w:rPr>
        <w:t xml:space="preserve"> in line with regulatory requirements</w:t>
      </w:r>
      <w:r w:rsidRPr="00120B5B">
        <w:rPr>
          <w:rFonts w:ascii="Arial" w:hAnsi="Arial" w:cs="Arial"/>
        </w:rPr>
        <w:t xml:space="preserve">.  </w:t>
      </w:r>
    </w:p>
    <w:p w14:paraId="55CFDE25" w14:textId="77777777" w:rsidR="009D2CB5" w:rsidRDefault="009D2CB5" w:rsidP="009D2CB5">
      <w:pPr>
        <w:pStyle w:val="ListParagraph"/>
        <w:rPr>
          <w:rFonts w:ascii="Arial" w:hAnsi="Arial" w:cs="Arial"/>
        </w:rPr>
      </w:pPr>
    </w:p>
    <w:p w14:paraId="228A16F9" w14:textId="77777777" w:rsidR="009D2CB5" w:rsidRDefault="009D2CB5" w:rsidP="009D2CB5">
      <w:pPr>
        <w:pStyle w:val="NoSpacing"/>
        <w:ind w:left="720"/>
        <w:jc w:val="both"/>
        <w:rPr>
          <w:rFonts w:ascii="Arial" w:hAnsi="Arial" w:cs="Arial"/>
        </w:rPr>
      </w:pPr>
    </w:p>
    <w:p w14:paraId="642C1759" w14:textId="77777777" w:rsidR="009D2CB5" w:rsidRPr="00120B5B" w:rsidRDefault="009D2CB5" w:rsidP="009D2CB5">
      <w:pPr>
        <w:pStyle w:val="NoSpacing"/>
        <w:rPr>
          <w:rFonts w:ascii="Arial" w:hAnsi="Arial" w:cs="Arial"/>
        </w:rPr>
      </w:pPr>
    </w:p>
    <w:p w14:paraId="0A8893A4" w14:textId="77777777" w:rsidR="009D2CB5" w:rsidRPr="00120B5B" w:rsidRDefault="009D2CB5" w:rsidP="009D2CB5">
      <w:pPr>
        <w:pStyle w:val="NoSpacing"/>
        <w:rPr>
          <w:rFonts w:ascii="Arial" w:hAnsi="Arial" w:cs="Arial"/>
          <w:b/>
        </w:rPr>
      </w:pPr>
      <w:r w:rsidRPr="00120B5B">
        <w:rPr>
          <w:rFonts w:ascii="Arial" w:hAnsi="Arial" w:cs="Arial"/>
          <w:b/>
        </w:rPr>
        <w:lastRenderedPageBreak/>
        <w:t>4</w:t>
      </w:r>
      <w:r w:rsidRPr="00120B5B">
        <w:rPr>
          <w:rFonts w:ascii="Arial" w:hAnsi="Arial" w:cs="Arial"/>
          <w:b/>
        </w:rPr>
        <w:tab/>
      </w:r>
      <w:r w:rsidRPr="00120B5B">
        <w:rPr>
          <w:rFonts w:ascii="Arial" w:hAnsi="Arial" w:cs="Arial"/>
          <w:b/>
          <w:sz w:val="28"/>
        </w:rPr>
        <w:t>Arrears Prevention</w:t>
      </w:r>
    </w:p>
    <w:p w14:paraId="3494BA0B" w14:textId="77777777" w:rsidR="009D2CB5" w:rsidRPr="00120B5B" w:rsidRDefault="009D2CB5" w:rsidP="009D2CB5">
      <w:pPr>
        <w:pStyle w:val="NoSpacing"/>
        <w:rPr>
          <w:rFonts w:ascii="Arial" w:hAnsi="Arial" w:cs="Arial"/>
          <w:b/>
          <w:u w:val="single"/>
        </w:rPr>
      </w:pPr>
    </w:p>
    <w:p w14:paraId="48B20C11"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4.1</w:t>
      </w:r>
      <w:r w:rsidRPr="00120B5B">
        <w:rPr>
          <w:rFonts w:ascii="Arial" w:hAnsi="Arial" w:cs="Arial"/>
        </w:rPr>
        <w:tab/>
        <w:t xml:space="preserve">By preventing rent arrears, Framework helps residents avoid the risk of accumulating debt and also reduces the cost of collecting outstanding arrears.  Framework considers rent to be a resident’s most important financial commitment and believes that early prevention and education on money management is the most effective and efficient approach to rent collection. </w:t>
      </w:r>
    </w:p>
    <w:p w14:paraId="7185BA5F" w14:textId="77777777" w:rsidR="009D2CB5" w:rsidRPr="00120B5B" w:rsidRDefault="009D2CB5" w:rsidP="009D2CB5">
      <w:pPr>
        <w:pStyle w:val="NoSpacing"/>
        <w:ind w:left="720" w:hanging="720"/>
        <w:jc w:val="both"/>
        <w:rPr>
          <w:rFonts w:ascii="Arial" w:hAnsi="Arial" w:cs="Arial"/>
        </w:rPr>
      </w:pPr>
    </w:p>
    <w:p w14:paraId="324BB251"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4.2</w:t>
      </w:r>
      <w:r w:rsidRPr="00120B5B">
        <w:rPr>
          <w:rFonts w:ascii="Arial" w:hAnsi="Arial" w:cs="Arial"/>
        </w:rPr>
        <w:tab/>
        <w:t>Framework is dedicated to helping residents avoid rent arrears by enabling and promoting a ‘payment culture’.  We recognise that our residents are</w:t>
      </w:r>
      <w:r>
        <w:rPr>
          <w:rFonts w:ascii="Arial" w:hAnsi="Arial" w:cs="Arial"/>
        </w:rPr>
        <w:t xml:space="preserve"> affected by</w:t>
      </w:r>
      <w:r w:rsidRPr="00120B5B">
        <w:rPr>
          <w:rFonts w:ascii="Arial" w:hAnsi="Arial" w:cs="Arial"/>
        </w:rPr>
        <w:t>:</w:t>
      </w:r>
    </w:p>
    <w:p w14:paraId="1D04A52B" w14:textId="77777777" w:rsidR="009D2CB5" w:rsidRPr="00120B5B" w:rsidRDefault="009D2CB5" w:rsidP="009D2CB5">
      <w:pPr>
        <w:pStyle w:val="NoSpacing"/>
        <w:ind w:left="720" w:hanging="720"/>
        <w:jc w:val="both"/>
        <w:rPr>
          <w:rFonts w:ascii="Arial" w:hAnsi="Arial" w:cs="Arial"/>
        </w:rPr>
      </w:pPr>
    </w:p>
    <w:p w14:paraId="564130FF" w14:textId="77777777" w:rsidR="009D2CB5" w:rsidRPr="00120B5B" w:rsidRDefault="009D2CB5" w:rsidP="009D2CB5">
      <w:pPr>
        <w:pStyle w:val="NoSpacing"/>
        <w:numPr>
          <w:ilvl w:val="0"/>
          <w:numId w:val="6"/>
        </w:numPr>
        <w:rPr>
          <w:rFonts w:ascii="Arial" w:hAnsi="Arial" w:cs="Arial"/>
        </w:rPr>
      </w:pPr>
      <w:r w:rsidRPr="00120B5B">
        <w:rPr>
          <w:rFonts w:ascii="Arial" w:hAnsi="Arial" w:cs="Arial"/>
        </w:rPr>
        <w:t>Experienc</w:t>
      </w:r>
      <w:r>
        <w:rPr>
          <w:rFonts w:ascii="Arial" w:hAnsi="Arial" w:cs="Arial"/>
        </w:rPr>
        <w:t>e</w:t>
      </w:r>
      <w:r w:rsidRPr="00120B5B">
        <w:rPr>
          <w:rFonts w:ascii="Arial" w:hAnsi="Arial" w:cs="Arial"/>
        </w:rPr>
        <w:t xml:space="preserve"> </w:t>
      </w:r>
      <w:r>
        <w:rPr>
          <w:rFonts w:ascii="Arial" w:hAnsi="Arial" w:cs="Arial"/>
        </w:rPr>
        <w:t xml:space="preserve">of </w:t>
      </w:r>
      <w:r w:rsidRPr="00120B5B">
        <w:rPr>
          <w:rFonts w:ascii="Arial" w:hAnsi="Arial" w:cs="Arial"/>
        </w:rPr>
        <w:t>financial hardship</w:t>
      </w:r>
      <w:r>
        <w:rPr>
          <w:rFonts w:ascii="Arial" w:hAnsi="Arial" w:cs="Arial"/>
        </w:rPr>
        <w:t xml:space="preserve"> and/or</w:t>
      </w:r>
    </w:p>
    <w:p w14:paraId="1E018054" w14:textId="77777777" w:rsidR="009D2CB5" w:rsidRPr="00120B5B" w:rsidRDefault="009D2CB5" w:rsidP="009D2CB5">
      <w:pPr>
        <w:pStyle w:val="NoSpacing"/>
        <w:numPr>
          <w:ilvl w:val="0"/>
          <w:numId w:val="6"/>
        </w:numPr>
        <w:rPr>
          <w:rFonts w:ascii="Arial" w:hAnsi="Arial" w:cs="Arial"/>
        </w:rPr>
      </w:pPr>
      <w:r w:rsidRPr="00120B5B">
        <w:rPr>
          <w:rFonts w:ascii="Arial" w:hAnsi="Arial" w:cs="Arial"/>
        </w:rPr>
        <w:t>Exclu</w:t>
      </w:r>
      <w:r>
        <w:rPr>
          <w:rFonts w:ascii="Arial" w:hAnsi="Arial" w:cs="Arial"/>
        </w:rPr>
        <w:t>sion</w:t>
      </w:r>
      <w:r w:rsidRPr="00120B5B">
        <w:rPr>
          <w:rFonts w:ascii="Arial" w:hAnsi="Arial" w:cs="Arial"/>
        </w:rPr>
        <w:t xml:space="preserve"> from mainstream financial products such as a bank account</w:t>
      </w:r>
      <w:r>
        <w:rPr>
          <w:rFonts w:ascii="Arial" w:hAnsi="Arial" w:cs="Arial"/>
        </w:rPr>
        <w:t xml:space="preserve"> and/or</w:t>
      </w:r>
    </w:p>
    <w:p w14:paraId="3AA4DA40" w14:textId="77777777" w:rsidR="009D2CB5" w:rsidRDefault="009D2CB5" w:rsidP="009D2CB5">
      <w:pPr>
        <w:pStyle w:val="NoSpacing"/>
        <w:numPr>
          <w:ilvl w:val="0"/>
          <w:numId w:val="6"/>
        </w:numPr>
        <w:rPr>
          <w:rFonts w:ascii="Arial" w:hAnsi="Arial" w:cs="Arial"/>
        </w:rPr>
      </w:pPr>
      <w:r>
        <w:rPr>
          <w:rFonts w:ascii="Arial" w:hAnsi="Arial" w:cs="Arial"/>
        </w:rPr>
        <w:t xml:space="preserve">Individual vulnerabilities </w:t>
      </w:r>
      <w:r w:rsidRPr="00120B5B">
        <w:rPr>
          <w:rFonts w:ascii="Arial" w:hAnsi="Arial" w:cs="Arial"/>
        </w:rPr>
        <w:t xml:space="preserve"> </w:t>
      </w:r>
      <w:r>
        <w:rPr>
          <w:rFonts w:ascii="Arial" w:hAnsi="Arial" w:cs="Arial"/>
        </w:rPr>
        <w:t xml:space="preserve"> </w:t>
      </w:r>
      <w:r w:rsidRPr="00120B5B">
        <w:rPr>
          <w:rFonts w:ascii="Arial" w:hAnsi="Arial" w:cs="Arial"/>
        </w:rPr>
        <w:t xml:space="preserve">and/or </w:t>
      </w:r>
    </w:p>
    <w:p w14:paraId="6155AAE1" w14:textId="77777777" w:rsidR="009D2CB5" w:rsidRPr="00120B5B" w:rsidRDefault="009D2CB5" w:rsidP="009D2CB5">
      <w:pPr>
        <w:pStyle w:val="NoSpacing"/>
        <w:numPr>
          <w:ilvl w:val="0"/>
          <w:numId w:val="6"/>
        </w:numPr>
        <w:rPr>
          <w:rFonts w:ascii="Arial" w:hAnsi="Arial" w:cs="Arial"/>
        </w:rPr>
      </w:pPr>
      <w:r>
        <w:rPr>
          <w:rFonts w:ascii="Arial" w:hAnsi="Arial" w:cs="Arial"/>
        </w:rPr>
        <w:t xml:space="preserve">Societal disadvantages </w:t>
      </w:r>
    </w:p>
    <w:p w14:paraId="2E896D94" w14:textId="77777777" w:rsidR="009D2CB5" w:rsidRPr="00120B5B" w:rsidRDefault="009D2CB5" w:rsidP="009D2CB5">
      <w:pPr>
        <w:pStyle w:val="NoSpacing"/>
        <w:rPr>
          <w:rFonts w:ascii="Arial" w:hAnsi="Arial" w:cs="Arial"/>
        </w:rPr>
      </w:pPr>
    </w:p>
    <w:p w14:paraId="693D998F" w14:textId="77777777" w:rsidR="009D2CB5" w:rsidRPr="00120B5B" w:rsidRDefault="009D2CB5" w:rsidP="009D2CB5">
      <w:pPr>
        <w:pStyle w:val="NoSpacing"/>
        <w:ind w:left="709" w:hanging="709"/>
        <w:rPr>
          <w:rFonts w:ascii="Arial" w:hAnsi="Arial" w:cs="Arial"/>
        </w:rPr>
      </w:pPr>
      <w:r w:rsidRPr="00120B5B">
        <w:rPr>
          <w:rFonts w:ascii="Arial" w:hAnsi="Arial" w:cs="Arial"/>
        </w:rPr>
        <w:t>4.3</w:t>
      </w:r>
      <w:r w:rsidRPr="00120B5B">
        <w:rPr>
          <w:rFonts w:ascii="Arial" w:hAnsi="Arial" w:cs="Arial"/>
        </w:rPr>
        <w:tab/>
        <w:t xml:space="preserve">To reflect this, and in order to minimise rent arrears, Framework will endeavor to regularly review the payment options available to our residents and work with stakeholders to highlight the challenges of standard practice and identify areas for change. </w:t>
      </w:r>
    </w:p>
    <w:p w14:paraId="7B38F822" w14:textId="77777777" w:rsidR="009D2CB5" w:rsidRDefault="009D2CB5" w:rsidP="009D2CB5">
      <w:pPr>
        <w:pStyle w:val="NoSpacing"/>
        <w:rPr>
          <w:rFonts w:ascii="Arial" w:hAnsi="Arial" w:cs="Arial"/>
        </w:rPr>
      </w:pPr>
    </w:p>
    <w:p w14:paraId="539433DA" w14:textId="77777777" w:rsidR="009D2CB5" w:rsidRPr="00120B5B" w:rsidRDefault="009D2CB5" w:rsidP="009D2CB5">
      <w:pPr>
        <w:pStyle w:val="NoSpacing"/>
        <w:rPr>
          <w:rFonts w:ascii="Arial" w:hAnsi="Arial" w:cs="Arial"/>
          <w:b/>
        </w:rPr>
      </w:pPr>
      <w:r w:rsidRPr="00120B5B">
        <w:rPr>
          <w:rFonts w:ascii="Arial" w:hAnsi="Arial" w:cs="Arial"/>
          <w:b/>
        </w:rPr>
        <w:t>5</w:t>
      </w:r>
      <w:r w:rsidRPr="00120B5B">
        <w:rPr>
          <w:rFonts w:ascii="Arial" w:hAnsi="Arial" w:cs="Arial"/>
          <w:b/>
        </w:rPr>
        <w:tab/>
      </w:r>
      <w:r w:rsidRPr="00120B5B">
        <w:rPr>
          <w:rFonts w:ascii="Arial" w:hAnsi="Arial" w:cs="Arial"/>
          <w:b/>
          <w:sz w:val="28"/>
        </w:rPr>
        <w:t>Early Identification and Intervention</w:t>
      </w:r>
    </w:p>
    <w:p w14:paraId="779603A4" w14:textId="77777777" w:rsidR="009D2CB5" w:rsidRPr="00120B5B" w:rsidRDefault="009D2CB5" w:rsidP="009D2CB5">
      <w:pPr>
        <w:pStyle w:val="NoSpacing"/>
        <w:rPr>
          <w:rFonts w:ascii="Arial" w:hAnsi="Arial" w:cs="Arial"/>
          <w:b/>
          <w:u w:val="single"/>
        </w:rPr>
      </w:pPr>
    </w:p>
    <w:p w14:paraId="5116956D"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5.1</w:t>
      </w:r>
      <w:r w:rsidRPr="00120B5B">
        <w:rPr>
          <w:rFonts w:ascii="Arial" w:hAnsi="Arial" w:cs="Arial"/>
        </w:rPr>
        <w:tab/>
        <w:t xml:space="preserve">To protect Framework and to prevent the residents </w:t>
      </w:r>
      <w:r>
        <w:rPr>
          <w:rFonts w:ascii="Arial" w:hAnsi="Arial" w:cs="Arial"/>
        </w:rPr>
        <w:t xml:space="preserve">from </w:t>
      </w:r>
      <w:r w:rsidRPr="00120B5B">
        <w:rPr>
          <w:rFonts w:ascii="Arial" w:hAnsi="Arial" w:cs="Arial"/>
        </w:rPr>
        <w:t xml:space="preserve">building up debt, Framework will take a holistic approach to rent arrears.  </w:t>
      </w:r>
      <w:r>
        <w:rPr>
          <w:rFonts w:ascii="Arial" w:hAnsi="Arial" w:cs="Arial"/>
        </w:rPr>
        <w:t>Framework</w:t>
      </w:r>
      <w:r w:rsidRPr="00120B5B">
        <w:rPr>
          <w:rFonts w:ascii="Arial" w:hAnsi="Arial" w:cs="Arial"/>
        </w:rPr>
        <w:t xml:space="preserve"> will consider the resident’s </w:t>
      </w:r>
      <w:r>
        <w:rPr>
          <w:rFonts w:ascii="Arial" w:hAnsi="Arial" w:cs="Arial"/>
        </w:rPr>
        <w:t xml:space="preserve">financial circumstances </w:t>
      </w:r>
      <w:r w:rsidRPr="00120B5B">
        <w:rPr>
          <w:rFonts w:ascii="Arial" w:hAnsi="Arial" w:cs="Arial"/>
        </w:rPr>
        <w:t xml:space="preserve">as a whole and </w:t>
      </w:r>
      <w:r>
        <w:rPr>
          <w:rFonts w:ascii="Arial" w:hAnsi="Arial" w:cs="Arial"/>
        </w:rPr>
        <w:t xml:space="preserve">support </w:t>
      </w:r>
      <w:r w:rsidRPr="00120B5B">
        <w:rPr>
          <w:rFonts w:ascii="Arial" w:hAnsi="Arial" w:cs="Arial"/>
        </w:rPr>
        <w:t xml:space="preserve">the resident to </w:t>
      </w:r>
      <w:r>
        <w:rPr>
          <w:rFonts w:ascii="Arial" w:hAnsi="Arial" w:cs="Arial"/>
        </w:rPr>
        <w:t xml:space="preserve">claim all income to which they are entitled. </w:t>
      </w:r>
    </w:p>
    <w:p w14:paraId="6A6F5155" w14:textId="77777777" w:rsidR="009D2CB5" w:rsidRPr="00120B5B" w:rsidRDefault="009D2CB5" w:rsidP="009D2CB5">
      <w:pPr>
        <w:pStyle w:val="NoSpacing"/>
        <w:ind w:left="720" w:hanging="720"/>
        <w:jc w:val="both"/>
        <w:rPr>
          <w:rFonts w:ascii="Arial" w:hAnsi="Arial" w:cs="Arial"/>
        </w:rPr>
      </w:pPr>
    </w:p>
    <w:p w14:paraId="4B9028CF"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5.2</w:t>
      </w:r>
      <w:r w:rsidRPr="00120B5B">
        <w:rPr>
          <w:rFonts w:ascii="Arial" w:hAnsi="Arial" w:cs="Arial"/>
        </w:rPr>
        <w:tab/>
        <w:t xml:space="preserve">Residents </w:t>
      </w:r>
      <w:r>
        <w:rPr>
          <w:rFonts w:ascii="Arial" w:hAnsi="Arial" w:cs="Arial"/>
        </w:rPr>
        <w:t xml:space="preserve">who are </w:t>
      </w:r>
      <w:r w:rsidRPr="00120B5B">
        <w:rPr>
          <w:rFonts w:ascii="Arial" w:hAnsi="Arial" w:cs="Arial"/>
        </w:rPr>
        <w:t xml:space="preserve">experiencing multiple debt issues will be supported to prioritise their debt appropriately. </w:t>
      </w:r>
      <w:r>
        <w:rPr>
          <w:rFonts w:ascii="Arial" w:hAnsi="Arial" w:cs="Arial"/>
        </w:rPr>
        <w:t xml:space="preserve"> </w:t>
      </w:r>
      <w:r w:rsidRPr="00120B5B">
        <w:rPr>
          <w:rFonts w:ascii="Arial" w:hAnsi="Arial" w:cs="Arial"/>
        </w:rPr>
        <w:t xml:space="preserve">Housing costs and rent arrears are deemed priority debt and should be addressed above other, non-priority debt. </w:t>
      </w:r>
    </w:p>
    <w:p w14:paraId="747A5B7F" w14:textId="77777777" w:rsidR="009D2CB5" w:rsidRPr="00120B5B" w:rsidRDefault="009D2CB5" w:rsidP="009D2CB5">
      <w:pPr>
        <w:pStyle w:val="NoSpacing"/>
        <w:ind w:left="720" w:hanging="720"/>
        <w:jc w:val="both"/>
        <w:rPr>
          <w:rFonts w:ascii="Arial" w:hAnsi="Arial" w:cs="Arial"/>
        </w:rPr>
      </w:pPr>
    </w:p>
    <w:p w14:paraId="15151039" w14:textId="1EF78A0F" w:rsidR="009D2CB5" w:rsidRPr="00120B5B" w:rsidRDefault="009D2CB5" w:rsidP="009D2CB5">
      <w:pPr>
        <w:pStyle w:val="NoSpacing"/>
        <w:ind w:left="720" w:hanging="720"/>
        <w:jc w:val="both"/>
        <w:rPr>
          <w:rFonts w:ascii="Arial" w:hAnsi="Arial" w:cs="Arial"/>
        </w:rPr>
      </w:pPr>
      <w:r w:rsidRPr="00120B5B">
        <w:rPr>
          <w:rFonts w:ascii="Arial" w:hAnsi="Arial" w:cs="Arial"/>
        </w:rPr>
        <w:t>5.3</w:t>
      </w:r>
      <w:r w:rsidRPr="00120B5B">
        <w:rPr>
          <w:rFonts w:ascii="Arial" w:hAnsi="Arial" w:cs="Arial"/>
        </w:rPr>
        <w:tab/>
        <w:t>Early identification allows Framework</w:t>
      </w:r>
      <w:r>
        <w:rPr>
          <w:rFonts w:ascii="Arial" w:hAnsi="Arial" w:cs="Arial"/>
        </w:rPr>
        <w:t xml:space="preserve"> a wider number of approaches</w:t>
      </w:r>
      <w:r w:rsidRPr="00120B5B">
        <w:rPr>
          <w:rFonts w:ascii="Arial" w:hAnsi="Arial" w:cs="Arial"/>
        </w:rPr>
        <w:t xml:space="preserve"> </w:t>
      </w:r>
      <w:r>
        <w:rPr>
          <w:rFonts w:ascii="Arial" w:hAnsi="Arial" w:cs="Arial"/>
        </w:rPr>
        <w:t xml:space="preserve">to support </w:t>
      </w:r>
      <w:r w:rsidR="00E87F58">
        <w:rPr>
          <w:rFonts w:ascii="Arial" w:hAnsi="Arial" w:cs="Arial"/>
        </w:rPr>
        <w:t>residents to</w:t>
      </w:r>
      <w:r w:rsidRPr="00120B5B">
        <w:rPr>
          <w:rFonts w:ascii="Arial" w:hAnsi="Arial" w:cs="Arial"/>
        </w:rPr>
        <w:t xml:space="preserve"> clear any arrears.</w:t>
      </w:r>
      <w:r>
        <w:rPr>
          <w:rFonts w:ascii="Arial" w:hAnsi="Arial" w:cs="Arial"/>
        </w:rPr>
        <w:t xml:space="preserve"> </w:t>
      </w:r>
      <w:r w:rsidRPr="00120B5B">
        <w:rPr>
          <w:rFonts w:ascii="Arial" w:hAnsi="Arial" w:cs="Arial"/>
        </w:rPr>
        <w:t xml:space="preserve"> </w:t>
      </w:r>
      <w:r>
        <w:rPr>
          <w:rFonts w:ascii="Arial" w:hAnsi="Arial" w:cs="Arial"/>
        </w:rPr>
        <w:t xml:space="preserve"> </w:t>
      </w:r>
      <w:r w:rsidRPr="00120B5B">
        <w:rPr>
          <w:rFonts w:ascii="Arial" w:hAnsi="Arial" w:cs="Arial"/>
        </w:rPr>
        <w:t xml:space="preserve">Difficulty in paying rent may reflect </w:t>
      </w:r>
      <w:r>
        <w:rPr>
          <w:rFonts w:ascii="Arial" w:hAnsi="Arial" w:cs="Arial"/>
        </w:rPr>
        <w:t xml:space="preserve">deeper </w:t>
      </w:r>
      <w:r w:rsidRPr="00120B5B">
        <w:rPr>
          <w:rFonts w:ascii="Arial" w:hAnsi="Arial" w:cs="Arial"/>
        </w:rPr>
        <w:t>problems which require support and a more flexible approach in settling the outstanding arrears.  Resident</w:t>
      </w:r>
      <w:r>
        <w:rPr>
          <w:rFonts w:ascii="Arial" w:hAnsi="Arial" w:cs="Arial"/>
        </w:rPr>
        <w:t>s</w:t>
      </w:r>
      <w:r w:rsidRPr="00120B5B">
        <w:rPr>
          <w:rFonts w:ascii="Arial" w:hAnsi="Arial" w:cs="Arial"/>
        </w:rPr>
        <w:t xml:space="preserve"> will be encouraged to set up a realistic repayment plan to ensure </w:t>
      </w:r>
      <w:r>
        <w:rPr>
          <w:rFonts w:ascii="Arial" w:hAnsi="Arial" w:cs="Arial"/>
        </w:rPr>
        <w:t xml:space="preserve">a </w:t>
      </w:r>
      <w:r w:rsidRPr="00120B5B">
        <w:rPr>
          <w:rFonts w:ascii="Arial" w:hAnsi="Arial" w:cs="Arial"/>
        </w:rPr>
        <w:t xml:space="preserve">sustainable and fair contribution to the arrears. </w:t>
      </w:r>
    </w:p>
    <w:p w14:paraId="641C2290" w14:textId="77777777" w:rsidR="009D2CB5" w:rsidRPr="00120B5B" w:rsidRDefault="009D2CB5" w:rsidP="009D2CB5">
      <w:pPr>
        <w:pStyle w:val="NoSpacing"/>
        <w:ind w:left="720" w:hanging="720"/>
        <w:jc w:val="both"/>
        <w:rPr>
          <w:rFonts w:ascii="Arial" w:hAnsi="Arial" w:cs="Arial"/>
        </w:rPr>
      </w:pPr>
    </w:p>
    <w:p w14:paraId="2666CF92"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5.4</w:t>
      </w:r>
      <w:r w:rsidRPr="00120B5B">
        <w:rPr>
          <w:rFonts w:ascii="Arial" w:hAnsi="Arial" w:cs="Arial"/>
        </w:rPr>
        <w:tab/>
        <w:t>Information on how to get advice and assistance will be included in arrears correspondence, within tenant/service user information</w:t>
      </w:r>
      <w:r>
        <w:rPr>
          <w:rFonts w:ascii="Arial" w:hAnsi="Arial" w:cs="Arial"/>
        </w:rPr>
        <w:t>, and through conversations with support and housing management staff</w:t>
      </w:r>
      <w:r w:rsidRPr="00120B5B">
        <w:rPr>
          <w:rFonts w:ascii="Arial" w:hAnsi="Arial" w:cs="Arial"/>
        </w:rPr>
        <w:t xml:space="preserve">. </w:t>
      </w:r>
    </w:p>
    <w:p w14:paraId="5135E509" w14:textId="77777777" w:rsidR="009D2CB5" w:rsidRPr="00120B5B" w:rsidRDefault="009D2CB5" w:rsidP="009D2CB5">
      <w:pPr>
        <w:pStyle w:val="NoSpacing"/>
        <w:rPr>
          <w:rFonts w:ascii="Arial" w:hAnsi="Arial" w:cs="Arial"/>
        </w:rPr>
      </w:pPr>
    </w:p>
    <w:p w14:paraId="1BA071AC" w14:textId="77777777" w:rsidR="009D2CB5" w:rsidRPr="00120B5B" w:rsidRDefault="009D2CB5" w:rsidP="009D2CB5">
      <w:pPr>
        <w:pStyle w:val="NoSpacing"/>
        <w:rPr>
          <w:rFonts w:ascii="Arial" w:hAnsi="Arial" w:cs="Arial"/>
          <w:b/>
          <w:sz w:val="28"/>
        </w:rPr>
      </w:pPr>
      <w:r w:rsidRPr="00120B5B">
        <w:rPr>
          <w:rFonts w:ascii="Arial" w:hAnsi="Arial" w:cs="Arial"/>
          <w:b/>
        </w:rPr>
        <w:t>6</w:t>
      </w:r>
      <w:r w:rsidRPr="00120B5B">
        <w:rPr>
          <w:rFonts w:ascii="Arial" w:hAnsi="Arial" w:cs="Arial"/>
          <w:b/>
        </w:rPr>
        <w:tab/>
      </w:r>
      <w:r w:rsidRPr="00120B5B">
        <w:rPr>
          <w:rFonts w:ascii="Arial" w:hAnsi="Arial" w:cs="Arial"/>
          <w:b/>
          <w:sz w:val="28"/>
        </w:rPr>
        <w:t xml:space="preserve">Active Service Involvement </w:t>
      </w:r>
    </w:p>
    <w:p w14:paraId="7535A06F" w14:textId="77777777" w:rsidR="009D2CB5" w:rsidRPr="00120B5B" w:rsidRDefault="009D2CB5" w:rsidP="009D2CB5">
      <w:pPr>
        <w:pStyle w:val="NoSpacing"/>
        <w:rPr>
          <w:rFonts w:ascii="Arial" w:hAnsi="Arial" w:cs="Arial"/>
          <w:b/>
        </w:rPr>
      </w:pPr>
    </w:p>
    <w:p w14:paraId="2558B112"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6.1</w:t>
      </w:r>
      <w:r w:rsidRPr="00120B5B">
        <w:rPr>
          <w:rFonts w:ascii="Arial" w:hAnsi="Arial" w:cs="Arial"/>
        </w:rPr>
        <w:tab/>
        <w:t xml:space="preserve">Communication, collaboration and concise record keeping are the cornerstones which underpin the success of rent collection. </w:t>
      </w:r>
      <w:r>
        <w:rPr>
          <w:rFonts w:ascii="Arial" w:hAnsi="Arial" w:cs="Arial"/>
        </w:rPr>
        <w:t xml:space="preserve"> </w:t>
      </w:r>
      <w:r w:rsidRPr="00120B5B">
        <w:rPr>
          <w:rFonts w:ascii="Arial" w:hAnsi="Arial" w:cs="Arial"/>
        </w:rPr>
        <w:t xml:space="preserve">The Housing Management Team, Support </w:t>
      </w:r>
      <w:r>
        <w:rPr>
          <w:rFonts w:ascii="Arial" w:hAnsi="Arial" w:cs="Arial"/>
        </w:rPr>
        <w:t xml:space="preserve">Staff </w:t>
      </w:r>
      <w:r w:rsidRPr="00120B5B">
        <w:rPr>
          <w:rFonts w:ascii="Arial" w:hAnsi="Arial" w:cs="Arial"/>
        </w:rPr>
        <w:t xml:space="preserve">and Service Managers will work consistently together in accordance with the Rent </w:t>
      </w:r>
      <w:r w:rsidRPr="00120B5B">
        <w:rPr>
          <w:rFonts w:ascii="Arial" w:hAnsi="Arial" w:cs="Arial"/>
        </w:rPr>
        <w:lastRenderedPageBreak/>
        <w:t xml:space="preserve">Collection Policy and the Pre Action Protocol to ensure rent collection benchmarks are achieved and the associated life skills for residents are addressed. </w:t>
      </w:r>
    </w:p>
    <w:p w14:paraId="568DC4FF" w14:textId="77777777" w:rsidR="009D2CB5" w:rsidRPr="00120B5B" w:rsidRDefault="009D2CB5" w:rsidP="009D2CB5">
      <w:pPr>
        <w:pStyle w:val="NoSpacing"/>
        <w:ind w:left="720" w:hanging="720"/>
        <w:jc w:val="both"/>
        <w:rPr>
          <w:rFonts w:ascii="Arial" w:hAnsi="Arial" w:cs="Arial"/>
        </w:rPr>
      </w:pPr>
    </w:p>
    <w:p w14:paraId="17CB5317"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6.2</w:t>
      </w:r>
      <w:r w:rsidRPr="00120B5B">
        <w:rPr>
          <w:rFonts w:ascii="Arial" w:hAnsi="Arial" w:cs="Arial"/>
        </w:rPr>
        <w:tab/>
        <w:t xml:space="preserve">If Service managers disagree with any rent collection processes or are unable to agree a way forward in relation to individual residents, the Director of Finance, Governance and Risk will be required to make a final decision. </w:t>
      </w:r>
    </w:p>
    <w:p w14:paraId="6E3F54C5" w14:textId="77777777" w:rsidR="009D2CB5" w:rsidRPr="00120B5B" w:rsidRDefault="009D2CB5" w:rsidP="009D2CB5">
      <w:pPr>
        <w:pStyle w:val="NoSpacing"/>
        <w:rPr>
          <w:rFonts w:ascii="Arial" w:hAnsi="Arial" w:cs="Arial"/>
        </w:rPr>
      </w:pPr>
    </w:p>
    <w:p w14:paraId="0EA40B58" w14:textId="77777777" w:rsidR="009D2CB5" w:rsidRPr="00120B5B" w:rsidRDefault="009D2CB5" w:rsidP="009D2CB5">
      <w:pPr>
        <w:pStyle w:val="NoSpacing"/>
        <w:rPr>
          <w:rFonts w:ascii="Arial" w:hAnsi="Arial" w:cs="Arial"/>
          <w:b/>
          <w:sz w:val="28"/>
        </w:rPr>
      </w:pPr>
      <w:r w:rsidRPr="00120B5B">
        <w:rPr>
          <w:rFonts w:ascii="Arial" w:hAnsi="Arial" w:cs="Arial"/>
          <w:b/>
        </w:rPr>
        <w:t>7</w:t>
      </w:r>
      <w:r w:rsidRPr="00120B5B">
        <w:rPr>
          <w:rFonts w:ascii="Arial" w:hAnsi="Arial" w:cs="Arial"/>
          <w:b/>
        </w:rPr>
        <w:tab/>
      </w:r>
      <w:r w:rsidRPr="00120B5B">
        <w:rPr>
          <w:rFonts w:ascii="Arial" w:hAnsi="Arial" w:cs="Arial"/>
          <w:b/>
          <w:sz w:val="28"/>
        </w:rPr>
        <w:t xml:space="preserve">Information Exchange with Local Authorities and DWP </w:t>
      </w:r>
    </w:p>
    <w:p w14:paraId="4653F986" w14:textId="77777777" w:rsidR="009D2CB5" w:rsidRPr="00120B5B" w:rsidRDefault="009D2CB5" w:rsidP="009D2CB5">
      <w:pPr>
        <w:pStyle w:val="NoSpacing"/>
        <w:rPr>
          <w:rFonts w:ascii="Arial" w:hAnsi="Arial" w:cs="Arial"/>
          <w:b/>
          <w:u w:val="single"/>
        </w:rPr>
      </w:pPr>
    </w:p>
    <w:p w14:paraId="1E985942"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7.1</w:t>
      </w:r>
      <w:r w:rsidRPr="00120B5B">
        <w:rPr>
          <w:rFonts w:ascii="Arial" w:hAnsi="Arial" w:cs="Arial"/>
        </w:rPr>
        <w:tab/>
        <w:t xml:space="preserve">Many of Framework’s residents are entitled to Housing Benefit which covers part or all of their HB-eligible rent and service charge.  Framework aims to build positive relationships with the relevant Local Authority Housing Benefit departments.  </w:t>
      </w:r>
    </w:p>
    <w:p w14:paraId="55A4E8B4" w14:textId="77777777" w:rsidR="009D2CB5" w:rsidRPr="00120B5B" w:rsidRDefault="009D2CB5" w:rsidP="009D2CB5">
      <w:pPr>
        <w:pStyle w:val="NoSpacing"/>
        <w:ind w:left="720" w:hanging="720"/>
        <w:jc w:val="both"/>
        <w:rPr>
          <w:rFonts w:ascii="Arial" w:hAnsi="Arial" w:cs="Arial"/>
        </w:rPr>
      </w:pPr>
    </w:p>
    <w:p w14:paraId="32803648"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7.2</w:t>
      </w:r>
      <w:r w:rsidRPr="00120B5B">
        <w:rPr>
          <w:rFonts w:ascii="Arial" w:hAnsi="Arial" w:cs="Arial"/>
        </w:rPr>
        <w:tab/>
        <w:t xml:space="preserve">In order to identify those residents at risk of falling into arrears and to maximise Housing Benefit, Framework will share information regarding claims with Local Authorities in compliance with GDPR, data protection legislation and policy.  </w:t>
      </w:r>
    </w:p>
    <w:p w14:paraId="7BAF296A" w14:textId="77777777" w:rsidR="009D2CB5" w:rsidRPr="00120B5B" w:rsidRDefault="009D2CB5" w:rsidP="009D2CB5">
      <w:pPr>
        <w:pStyle w:val="NoSpacing"/>
        <w:ind w:left="720" w:hanging="720"/>
        <w:jc w:val="both"/>
        <w:rPr>
          <w:rFonts w:ascii="Arial" w:hAnsi="Arial" w:cs="Arial"/>
        </w:rPr>
      </w:pPr>
    </w:p>
    <w:p w14:paraId="09D4CFBB"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7.3</w:t>
      </w:r>
      <w:r w:rsidRPr="00120B5B">
        <w:rPr>
          <w:rFonts w:ascii="Arial" w:hAnsi="Arial" w:cs="Arial"/>
        </w:rPr>
        <w:tab/>
        <w:t>For those residents in receipt of Housing Benefit, direct payment of benefit from the Local Authority to Framework will be required.</w:t>
      </w:r>
    </w:p>
    <w:p w14:paraId="4431F51A" w14:textId="77777777" w:rsidR="009D2CB5" w:rsidRPr="00120B5B" w:rsidRDefault="009D2CB5" w:rsidP="009D2CB5">
      <w:pPr>
        <w:pStyle w:val="NoSpacing"/>
        <w:ind w:left="720" w:hanging="720"/>
        <w:jc w:val="both"/>
        <w:rPr>
          <w:rFonts w:ascii="Arial" w:hAnsi="Arial" w:cs="Arial"/>
        </w:rPr>
      </w:pPr>
    </w:p>
    <w:p w14:paraId="4B94BAD0"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7.4</w:t>
      </w:r>
      <w:r w:rsidRPr="00120B5B">
        <w:rPr>
          <w:rFonts w:ascii="Arial" w:hAnsi="Arial" w:cs="Arial"/>
        </w:rPr>
        <w:tab/>
        <w:t>Framework aims to build and maintain positive relationships with DWP</w:t>
      </w:r>
      <w:r>
        <w:rPr>
          <w:rFonts w:ascii="Arial" w:hAnsi="Arial" w:cs="Arial"/>
        </w:rPr>
        <w:t>, Service Commissioners, Resident Representatives</w:t>
      </w:r>
      <w:r w:rsidRPr="00120B5B">
        <w:rPr>
          <w:rFonts w:ascii="Arial" w:hAnsi="Arial" w:cs="Arial"/>
        </w:rPr>
        <w:t xml:space="preserve"> and funding agency staff to ensure clear communication around rent issues and specifically around the challenges of Universal Credit and other Welfare Reforms.</w:t>
      </w:r>
    </w:p>
    <w:p w14:paraId="23CFABA2" w14:textId="77777777" w:rsidR="009D2CB5" w:rsidRPr="00120B5B" w:rsidRDefault="009D2CB5" w:rsidP="009D2CB5">
      <w:pPr>
        <w:pStyle w:val="NoSpacing"/>
        <w:rPr>
          <w:rFonts w:ascii="Arial" w:hAnsi="Arial" w:cs="Arial"/>
          <w:b/>
          <w:u w:val="single"/>
        </w:rPr>
      </w:pPr>
    </w:p>
    <w:p w14:paraId="70F8392B" w14:textId="77777777" w:rsidR="009D2CB5" w:rsidRPr="00120B5B" w:rsidRDefault="009D2CB5" w:rsidP="009D2CB5">
      <w:pPr>
        <w:pStyle w:val="NoSpacing"/>
        <w:rPr>
          <w:rFonts w:ascii="Arial" w:hAnsi="Arial" w:cs="Arial"/>
          <w:b/>
        </w:rPr>
      </w:pPr>
      <w:r w:rsidRPr="00120B5B">
        <w:rPr>
          <w:rFonts w:ascii="Arial" w:hAnsi="Arial" w:cs="Arial"/>
          <w:b/>
        </w:rPr>
        <w:t>8</w:t>
      </w:r>
      <w:r w:rsidRPr="00120B5B">
        <w:rPr>
          <w:rFonts w:ascii="Arial" w:hAnsi="Arial" w:cs="Arial"/>
          <w:b/>
        </w:rPr>
        <w:tab/>
      </w:r>
      <w:r w:rsidRPr="00120B5B">
        <w:rPr>
          <w:rFonts w:ascii="Arial" w:hAnsi="Arial" w:cs="Arial"/>
          <w:b/>
          <w:sz w:val="28"/>
        </w:rPr>
        <w:t>Enforcement</w:t>
      </w:r>
    </w:p>
    <w:p w14:paraId="7DB62638" w14:textId="77777777" w:rsidR="009D2CB5" w:rsidRPr="00120B5B" w:rsidRDefault="009D2CB5" w:rsidP="009D2CB5">
      <w:pPr>
        <w:pStyle w:val="NoSpacing"/>
        <w:rPr>
          <w:rFonts w:ascii="Arial" w:hAnsi="Arial" w:cs="Arial"/>
        </w:rPr>
      </w:pPr>
    </w:p>
    <w:p w14:paraId="4FE53F6F"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8.1</w:t>
      </w:r>
      <w:r w:rsidRPr="00120B5B">
        <w:rPr>
          <w:rFonts w:ascii="Arial" w:hAnsi="Arial" w:cs="Arial"/>
        </w:rPr>
        <w:tab/>
        <w:t xml:space="preserve">To achieve recovery of arrears Framework has a proactive and effective process for arrears escalation and recovery (see </w:t>
      </w:r>
      <w:r w:rsidRPr="00120B5B">
        <w:rPr>
          <w:rFonts w:ascii="Arial" w:hAnsi="Arial" w:cs="Arial"/>
          <w:i/>
        </w:rPr>
        <w:t>Rent Collection Procedure</w:t>
      </w:r>
      <w:r w:rsidRPr="00120B5B">
        <w:rPr>
          <w:rFonts w:ascii="Arial" w:hAnsi="Arial" w:cs="Arial"/>
        </w:rPr>
        <w:t xml:space="preserve">). </w:t>
      </w:r>
      <w:r>
        <w:rPr>
          <w:rFonts w:ascii="Arial" w:hAnsi="Arial" w:cs="Arial"/>
        </w:rPr>
        <w:t xml:space="preserve"> </w:t>
      </w:r>
      <w:r w:rsidRPr="00120B5B">
        <w:rPr>
          <w:rFonts w:ascii="Arial" w:hAnsi="Arial" w:cs="Arial"/>
        </w:rPr>
        <w:t>Enforcement and support actions will be coordinated and progress focused on supporting the residents to pay rent in accordance with the occupancy agreement.</w:t>
      </w:r>
    </w:p>
    <w:p w14:paraId="28BF605D" w14:textId="77777777" w:rsidR="009D2CB5" w:rsidRPr="00120B5B" w:rsidRDefault="009D2CB5" w:rsidP="009D2CB5">
      <w:pPr>
        <w:pStyle w:val="NoSpacing"/>
        <w:jc w:val="both"/>
        <w:rPr>
          <w:rFonts w:ascii="Arial" w:hAnsi="Arial" w:cs="Arial"/>
        </w:rPr>
      </w:pPr>
    </w:p>
    <w:p w14:paraId="50E09DDC"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8.2</w:t>
      </w:r>
      <w:r w:rsidRPr="00120B5B">
        <w:rPr>
          <w:rFonts w:ascii="Arial" w:hAnsi="Arial" w:cs="Arial"/>
        </w:rPr>
        <w:tab/>
        <w:t>Framework will prioritise reasonable payment agreements over court action.  When considering reasonableness Framework will consider not only the amount to be paid each week by the tenant but also the period of time in which the debt is to be cleared.</w:t>
      </w:r>
    </w:p>
    <w:p w14:paraId="5414E51A" w14:textId="77777777" w:rsidR="009D2CB5" w:rsidRPr="00120B5B" w:rsidRDefault="009D2CB5" w:rsidP="009D2CB5">
      <w:pPr>
        <w:pStyle w:val="NoSpacing"/>
        <w:ind w:left="720" w:hanging="720"/>
        <w:jc w:val="both"/>
        <w:rPr>
          <w:rFonts w:ascii="Arial" w:hAnsi="Arial" w:cs="Arial"/>
        </w:rPr>
      </w:pPr>
    </w:p>
    <w:p w14:paraId="40A5EAAA" w14:textId="77777777" w:rsidR="009D2CB5" w:rsidRPr="00120B5B" w:rsidRDefault="009D2CB5" w:rsidP="009D2CB5">
      <w:pPr>
        <w:pStyle w:val="NoSpacing"/>
        <w:ind w:left="720" w:hanging="720"/>
        <w:rPr>
          <w:rFonts w:ascii="Arial" w:hAnsi="Arial" w:cs="Arial"/>
        </w:rPr>
      </w:pPr>
      <w:r w:rsidRPr="00120B5B">
        <w:rPr>
          <w:rFonts w:ascii="Arial" w:hAnsi="Arial" w:cs="Arial"/>
        </w:rPr>
        <w:t>8.3</w:t>
      </w:r>
      <w:r w:rsidRPr="00120B5B">
        <w:rPr>
          <w:rFonts w:ascii="Arial" w:hAnsi="Arial" w:cs="Arial"/>
        </w:rPr>
        <w:tab/>
        <w:t>Where support invention and early enforcement action has not been successful, Framework will pursue legal grounds to repossess the property.</w:t>
      </w:r>
      <w:r>
        <w:rPr>
          <w:rFonts w:ascii="Arial" w:hAnsi="Arial" w:cs="Arial"/>
        </w:rPr>
        <w:t xml:space="preserve"> </w:t>
      </w:r>
      <w:r w:rsidRPr="00120B5B">
        <w:rPr>
          <w:rFonts w:ascii="Arial" w:hAnsi="Arial" w:cs="Arial"/>
        </w:rPr>
        <w:t xml:space="preserve"> Framework will make applications for court orders as early as possible but</w:t>
      </w:r>
      <w:r>
        <w:rPr>
          <w:rFonts w:ascii="Arial" w:hAnsi="Arial" w:cs="Arial"/>
        </w:rPr>
        <w:t>, for Tenanted properties,</w:t>
      </w:r>
      <w:r w:rsidRPr="00120B5B">
        <w:rPr>
          <w:rFonts w:ascii="Arial" w:hAnsi="Arial" w:cs="Arial"/>
        </w:rPr>
        <w:t xml:space="preserve"> only when satisfied that the steps detailed in the Pre-action Protocol for Possession Claims based on rent arrears have been followed.</w:t>
      </w:r>
    </w:p>
    <w:p w14:paraId="38285BE4" w14:textId="77777777" w:rsidR="009D2CB5" w:rsidRPr="00120B5B" w:rsidRDefault="009D2CB5" w:rsidP="009D2CB5">
      <w:pPr>
        <w:pStyle w:val="NoSpacing"/>
        <w:ind w:left="720" w:hanging="720"/>
        <w:rPr>
          <w:rFonts w:ascii="Arial" w:hAnsi="Arial" w:cs="Arial"/>
        </w:rPr>
      </w:pPr>
    </w:p>
    <w:p w14:paraId="7F5A1563" w14:textId="77777777" w:rsidR="009D2CB5" w:rsidRPr="00120B5B" w:rsidRDefault="009D2CB5" w:rsidP="009D2CB5">
      <w:pPr>
        <w:pStyle w:val="NoSpacing"/>
        <w:ind w:left="720" w:hanging="720"/>
        <w:rPr>
          <w:rFonts w:ascii="Arial" w:hAnsi="Arial" w:cs="Arial"/>
        </w:rPr>
      </w:pPr>
      <w:r w:rsidRPr="00120B5B">
        <w:rPr>
          <w:rFonts w:ascii="Arial" w:hAnsi="Arial" w:cs="Arial"/>
        </w:rPr>
        <w:t>8.4</w:t>
      </w:r>
      <w:r w:rsidRPr="00120B5B">
        <w:rPr>
          <w:rFonts w:ascii="Arial" w:hAnsi="Arial" w:cs="Arial"/>
        </w:rPr>
        <w:tab/>
        <w:t>When applying to court for possession, for</w:t>
      </w:r>
      <w:r>
        <w:rPr>
          <w:rFonts w:ascii="Arial" w:hAnsi="Arial" w:cs="Arial"/>
        </w:rPr>
        <w:t xml:space="preserve"> Tenanted properties</w:t>
      </w:r>
      <w:r w:rsidRPr="00120B5B">
        <w:rPr>
          <w:rFonts w:ascii="Arial" w:hAnsi="Arial" w:cs="Arial"/>
        </w:rPr>
        <w:t xml:space="preserve"> Framework will use grounds</w:t>
      </w:r>
      <w:r>
        <w:rPr>
          <w:rFonts w:ascii="Arial" w:hAnsi="Arial" w:cs="Arial"/>
        </w:rPr>
        <w:t xml:space="preserve"> which may include, but not limited to</w:t>
      </w:r>
      <w:r w:rsidRPr="00120B5B">
        <w:rPr>
          <w:rFonts w:ascii="Arial" w:hAnsi="Arial" w:cs="Arial"/>
        </w:rPr>
        <w:t>:</w:t>
      </w:r>
    </w:p>
    <w:p w14:paraId="3DF375D2" w14:textId="77777777" w:rsidR="009D2CB5" w:rsidRPr="00120B5B" w:rsidRDefault="009D2CB5" w:rsidP="009D2CB5">
      <w:pPr>
        <w:pStyle w:val="NoSpacing"/>
        <w:numPr>
          <w:ilvl w:val="0"/>
          <w:numId w:val="2"/>
        </w:numPr>
        <w:rPr>
          <w:rFonts w:ascii="Arial" w:hAnsi="Arial" w:cs="Arial"/>
        </w:rPr>
      </w:pPr>
      <w:r w:rsidRPr="00120B5B">
        <w:rPr>
          <w:rFonts w:ascii="Arial" w:hAnsi="Arial" w:cs="Arial"/>
        </w:rPr>
        <w:t>Ground 8</w:t>
      </w:r>
    </w:p>
    <w:p w14:paraId="3FFBC0B2" w14:textId="77777777" w:rsidR="009D2CB5" w:rsidRPr="00120B5B" w:rsidRDefault="009D2CB5" w:rsidP="009D2CB5">
      <w:pPr>
        <w:pStyle w:val="NoSpacing"/>
        <w:numPr>
          <w:ilvl w:val="0"/>
          <w:numId w:val="2"/>
        </w:numPr>
        <w:rPr>
          <w:rFonts w:ascii="Arial" w:hAnsi="Arial" w:cs="Arial"/>
        </w:rPr>
      </w:pPr>
      <w:r w:rsidRPr="00120B5B">
        <w:rPr>
          <w:rFonts w:ascii="Arial" w:hAnsi="Arial" w:cs="Arial"/>
        </w:rPr>
        <w:t>Ground 10</w:t>
      </w:r>
    </w:p>
    <w:p w14:paraId="381C4A7A" w14:textId="77777777" w:rsidR="009D2CB5" w:rsidRPr="00543B3A" w:rsidRDefault="009D2CB5" w:rsidP="009D2CB5">
      <w:pPr>
        <w:pStyle w:val="NoSpacing"/>
        <w:numPr>
          <w:ilvl w:val="0"/>
          <w:numId w:val="2"/>
        </w:numPr>
        <w:rPr>
          <w:rFonts w:ascii="Arial" w:hAnsi="Arial" w:cs="Arial"/>
        </w:rPr>
      </w:pPr>
      <w:r w:rsidRPr="00120B5B">
        <w:rPr>
          <w:rFonts w:ascii="Arial" w:hAnsi="Arial" w:cs="Arial"/>
        </w:rPr>
        <w:t xml:space="preserve">Ground 11 </w:t>
      </w:r>
    </w:p>
    <w:p w14:paraId="3061EDAF" w14:textId="77777777" w:rsidR="009D2CB5" w:rsidRPr="00120B5B" w:rsidRDefault="009D2CB5" w:rsidP="009D2CB5">
      <w:pPr>
        <w:pStyle w:val="NoSpacing"/>
        <w:rPr>
          <w:rFonts w:ascii="Arial" w:hAnsi="Arial" w:cs="Arial"/>
        </w:rPr>
      </w:pPr>
    </w:p>
    <w:p w14:paraId="5CEEFEDD" w14:textId="498A49B5" w:rsidR="009D2CB5" w:rsidRPr="00120B5B" w:rsidRDefault="009D2CB5" w:rsidP="009D2CB5">
      <w:pPr>
        <w:pStyle w:val="NoSpacing"/>
        <w:rPr>
          <w:rFonts w:ascii="Arial" w:hAnsi="Arial" w:cs="Arial"/>
        </w:rPr>
      </w:pPr>
      <w:r w:rsidRPr="00120B5B">
        <w:rPr>
          <w:rFonts w:ascii="Arial" w:hAnsi="Arial" w:cs="Arial"/>
        </w:rPr>
        <w:t>8.5</w:t>
      </w:r>
      <w:r w:rsidRPr="00120B5B">
        <w:rPr>
          <w:rFonts w:ascii="Arial" w:hAnsi="Arial" w:cs="Arial"/>
        </w:rPr>
        <w:tab/>
        <w:t>For License Agreements Framework will issue a Notice To Quit.</w:t>
      </w:r>
    </w:p>
    <w:p w14:paraId="57B45B92" w14:textId="77777777" w:rsidR="009D2CB5" w:rsidRDefault="009D2CB5" w:rsidP="009D2CB5">
      <w:pPr>
        <w:pStyle w:val="NoSpacing"/>
        <w:rPr>
          <w:rFonts w:ascii="Arial" w:hAnsi="Arial" w:cs="Arial"/>
        </w:rPr>
      </w:pPr>
      <w:r w:rsidRPr="00120B5B">
        <w:rPr>
          <w:rFonts w:ascii="Arial" w:hAnsi="Arial" w:cs="Arial"/>
        </w:rPr>
        <w:lastRenderedPageBreak/>
        <w:t>8.6</w:t>
      </w:r>
      <w:r w:rsidRPr="00120B5B">
        <w:rPr>
          <w:rFonts w:ascii="Arial" w:hAnsi="Arial" w:cs="Arial"/>
        </w:rPr>
        <w:tab/>
        <w:t>These are not exhaustive and Framework may rely on other grounds.</w:t>
      </w:r>
    </w:p>
    <w:p w14:paraId="3D29D079" w14:textId="77777777" w:rsidR="009D2CB5" w:rsidRDefault="009D2CB5" w:rsidP="009D2CB5">
      <w:pPr>
        <w:pStyle w:val="NoSpacing"/>
        <w:rPr>
          <w:rFonts w:ascii="Arial" w:hAnsi="Arial" w:cs="Arial"/>
        </w:rPr>
      </w:pPr>
    </w:p>
    <w:p w14:paraId="082F8308" w14:textId="77777777" w:rsidR="009D2CB5" w:rsidRPr="00120B5B" w:rsidRDefault="009D2CB5" w:rsidP="009D2CB5">
      <w:pPr>
        <w:pStyle w:val="NoSpacing"/>
        <w:rPr>
          <w:rFonts w:ascii="Arial" w:hAnsi="Arial" w:cs="Arial"/>
          <w:b/>
          <w:u w:val="single"/>
        </w:rPr>
      </w:pPr>
    </w:p>
    <w:p w14:paraId="21C291EA" w14:textId="77777777" w:rsidR="009D2CB5" w:rsidRPr="00120B5B" w:rsidRDefault="009D2CB5" w:rsidP="009D2CB5">
      <w:pPr>
        <w:pStyle w:val="NoSpacing"/>
        <w:rPr>
          <w:rFonts w:ascii="Arial" w:hAnsi="Arial" w:cs="Arial"/>
          <w:b/>
        </w:rPr>
      </w:pPr>
      <w:r w:rsidRPr="00120B5B">
        <w:rPr>
          <w:rFonts w:ascii="Arial" w:hAnsi="Arial" w:cs="Arial"/>
          <w:b/>
        </w:rPr>
        <w:t>9</w:t>
      </w:r>
      <w:r w:rsidRPr="00120B5B">
        <w:rPr>
          <w:rFonts w:ascii="Arial" w:hAnsi="Arial" w:cs="Arial"/>
          <w:b/>
        </w:rPr>
        <w:tab/>
      </w:r>
      <w:r w:rsidRPr="00120B5B">
        <w:rPr>
          <w:rFonts w:ascii="Arial" w:hAnsi="Arial" w:cs="Arial"/>
          <w:b/>
          <w:sz w:val="28"/>
        </w:rPr>
        <w:t>Former Residency Arrears and Repayment of Rent Arrears</w:t>
      </w:r>
    </w:p>
    <w:p w14:paraId="406486D7" w14:textId="77777777" w:rsidR="009D2CB5" w:rsidRPr="00120B5B" w:rsidRDefault="009D2CB5" w:rsidP="009D2CB5">
      <w:pPr>
        <w:pStyle w:val="NoSpacing"/>
        <w:rPr>
          <w:rFonts w:ascii="Arial" w:hAnsi="Arial" w:cs="Arial"/>
          <w:b/>
          <w:u w:val="single"/>
        </w:rPr>
      </w:pPr>
    </w:p>
    <w:p w14:paraId="6B95AEDC"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9.1</w:t>
      </w:r>
      <w:r w:rsidRPr="00120B5B">
        <w:rPr>
          <w:rFonts w:ascii="Arial" w:hAnsi="Arial" w:cs="Arial"/>
        </w:rPr>
        <w:tab/>
        <w:t xml:space="preserve">A former residency arrear is any debt left owing to Framework when  </w:t>
      </w:r>
      <w:r>
        <w:rPr>
          <w:rFonts w:ascii="Arial" w:hAnsi="Arial" w:cs="Arial"/>
        </w:rPr>
        <w:t xml:space="preserve"> an occupancy </w:t>
      </w:r>
      <w:r w:rsidRPr="00120B5B">
        <w:rPr>
          <w:rFonts w:ascii="Arial" w:hAnsi="Arial" w:cs="Arial"/>
        </w:rPr>
        <w:t xml:space="preserve">has been terminated. It can include rent arrears, rechargeable repairs or court fees. </w:t>
      </w:r>
    </w:p>
    <w:p w14:paraId="68621612" w14:textId="77777777" w:rsidR="009D2CB5" w:rsidRPr="00120B5B" w:rsidRDefault="009D2CB5" w:rsidP="009D2CB5">
      <w:pPr>
        <w:pStyle w:val="NoSpacing"/>
        <w:rPr>
          <w:rFonts w:ascii="Arial" w:hAnsi="Arial" w:cs="Arial"/>
        </w:rPr>
      </w:pPr>
    </w:p>
    <w:p w14:paraId="15F59CF7"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9.2</w:t>
      </w:r>
      <w:r w:rsidRPr="00120B5B">
        <w:rPr>
          <w:rFonts w:ascii="Arial" w:hAnsi="Arial" w:cs="Arial"/>
        </w:rPr>
        <w:tab/>
        <w:t xml:space="preserve">Recovering former resident arrears will be </w:t>
      </w:r>
      <w:r>
        <w:rPr>
          <w:rFonts w:ascii="Arial" w:hAnsi="Arial" w:cs="Arial"/>
        </w:rPr>
        <w:t xml:space="preserve">considered </w:t>
      </w:r>
      <w:r w:rsidRPr="00120B5B">
        <w:rPr>
          <w:rFonts w:ascii="Arial" w:hAnsi="Arial" w:cs="Arial"/>
        </w:rPr>
        <w:t>on an individual basis recognising that the collection of former residency arrears is challenging and there are costs associated with collection processes.  However, if a resident owing Framework is re-housed the resident will be expected to address the previous debt accrued.</w:t>
      </w:r>
    </w:p>
    <w:p w14:paraId="0A935CD7" w14:textId="77777777" w:rsidR="009D2CB5" w:rsidRPr="00120B5B" w:rsidRDefault="009D2CB5" w:rsidP="009D2CB5">
      <w:pPr>
        <w:pStyle w:val="NoSpacing"/>
        <w:jc w:val="both"/>
        <w:rPr>
          <w:rFonts w:ascii="Arial" w:hAnsi="Arial" w:cs="Arial"/>
        </w:rPr>
      </w:pPr>
    </w:p>
    <w:p w14:paraId="525D64EB" w14:textId="77777777" w:rsidR="009D2CB5" w:rsidRPr="00120B5B" w:rsidRDefault="009D2CB5" w:rsidP="009D2CB5">
      <w:pPr>
        <w:pStyle w:val="NoSpacing"/>
        <w:jc w:val="both"/>
        <w:rPr>
          <w:rFonts w:ascii="Arial" w:hAnsi="Arial" w:cs="Arial"/>
          <w:b/>
        </w:rPr>
      </w:pPr>
      <w:r w:rsidRPr="00120B5B">
        <w:rPr>
          <w:rFonts w:ascii="Arial" w:hAnsi="Arial" w:cs="Arial"/>
          <w:b/>
        </w:rPr>
        <w:t>10</w:t>
      </w:r>
      <w:r w:rsidRPr="00120B5B">
        <w:rPr>
          <w:rFonts w:ascii="Arial" w:hAnsi="Arial" w:cs="Arial"/>
          <w:b/>
        </w:rPr>
        <w:tab/>
      </w:r>
      <w:r w:rsidRPr="00120B5B">
        <w:rPr>
          <w:rFonts w:ascii="Arial" w:hAnsi="Arial" w:cs="Arial"/>
          <w:b/>
          <w:sz w:val="28"/>
        </w:rPr>
        <w:t>Write Offs</w:t>
      </w:r>
    </w:p>
    <w:p w14:paraId="63F569C7" w14:textId="77777777" w:rsidR="009D2CB5" w:rsidRPr="00120B5B" w:rsidRDefault="009D2CB5" w:rsidP="009D2CB5">
      <w:pPr>
        <w:pStyle w:val="NoSpacing"/>
        <w:jc w:val="both"/>
        <w:rPr>
          <w:rFonts w:ascii="Arial" w:hAnsi="Arial" w:cs="Arial"/>
        </w:rPr>
      </w:pPr>
    </w:p>
    <w:p w14:paraId="58E7F266" w14:textId="77777777" w:rsidR="009D2CB5" w:rsidRDefault="009D2CB5" w:rsidP="009D2CB5">
      <w:pPr>
        <w:pStyle w:val="NoSpacing"/>
        <w:ind w:left="720" w:hanging="720"/>
        <w:jc w:val="both"/>
        <w:rPr>
          <w:rFonts w:ascii="Arial" w:hAnsi="Arial" w:cs="Arial"/>
        </w:rPr>
      </w:pPr>
      <w:r w:rsidRPr="00120B5B">
        <w:rPr>
          <w:rFonts w:ascii="Arial" w:hAnsi="Arial" w:cs="Arial"/>
        </w:rPr>
        <w:t>10.1</w:t>
      </w:r>
      <w:r w:rsidRPr="00120B5B">
        <w:rPr>
          <w:rFonts w:ascii="Arial" w:hAnsi="Arial" w:cs="Arial"/>
        </w:rPr>
        <w:tab/>
        <w:t>At the discretion of Framework</w:t>
      </w:r>
      <w:r>
        <w:rPr>
          <w:rFonts w:ascii="Arial" w:hAnsi="Arial" w:cs="Arial"/>
        </w:rPr>
        <w:t>,</w:t>
      </w:r>
      <w:r w:rsidRPr="00120B5B">
        <w:rPr>
          <w:rFonts w:ascii="Arial" w:hAnsi="Arial" w:cs="Arial"/>
        </w:rPr>
        <w:t xml:space="preserve"> where resident arrears are not likely to be recouped, the debt will be written off. If a resident returns to a Framework service and has a previous amount outstanding the debt will be discussed with the Service Manager and usually be reinstated.</w:t>
      </w:r>
    </w:p>
    <w:p w14:paraId="554B1D9A" w14:textId="77777777" w:rsidR="009D2CB5" w:rsidRPr="00120B5B" w:rsidRDefault="009D2CB5" w:rsidP="009D2CB5">
      <w:pPr>
        <w:pStyle w:val="NoSpacing"/>
        <w:ind w:left="720" w:hanging="720"/>
        <w:jc w:val="both"/>
        <w:rPr>
          <w:rFonts w:ascii="Arial" w:hAnsi="Arial" w:cs="Arial"/>
        </w:rPr>
      </w:pPr>
    </w:p>
    <w:p w14:paraId="3DBB8206" w14:textId="77777777" w:rsidR="009D2CB5" w:rsidRPr="00120B5B" w:rsidRDefault="009D2CB5" w:rsidP="009D2CB5">
      <w:pPr>
        <w:pStyle w:val="NoSpacing"/>
        <w:ind w:left="720" w:hanging="720"/>
        <w:jc w:val="both"/>
        <w:rPr>
          <w:rFonts w:ascii="Arial" w:hAnsi="Arial" w:cs="Arial"/>
          <w:b/>
        </w:rPr>
      </w:pPr>
      <w:r w:rsidRPr="00120B5B">
        <w:rPr>
          <w:rFonts w:ascii="Arial" w:hAnsi="Arial" w:cs="Arial"/>
          <w:b/>
        </w:rPr>
        <w:t>11</w:t>
      </w:r>
      <w:r w:rsidRPr="00120B5B">
        <w:rPr>
          <w:rFonts w:ascii="Arial" w:hAnsi="Arial" w:cs="Arial"/>
          <w:b/>
        </w:rPr>
        <w:tab/>
      </w:r>
      <w:r w:rsidRPr="00120B5B">
        <w:rPr>
          <w:rFonts w:ascii="Arial" w:hAnsi="Arial" w:cs="Arial"/>
          <w:b/>
          <w:sz w:val="28"/>
        </w:rPr>
        <w:t xml:space="preserve">Systems and Processes </w:t>
      </w:r>
    </w:p>
    <w:p w14:paraId="5D77FB4B" w14:textId="77777777" w:rsidR="009D2CB5" w:rsidRPr="00120B5B" w:rsidRDefault="009D2CB5" w:rsidP="009D2CB5">
      <w:pPr>
        <w:pStyle w:val="NoSpacing"/>
        <w:ind w:left="720" w:hanging="720"/>
        <w:jc w:val="both"/>
        <w:rPr>
          <w:rFonts w:ascii="Arial" w:hAnsi="Arial" w:cs="Arial"/>
        </w:rPr>
      </w:pPr>
    </w:p>
    <w:p w14:paraId="5EF0414A"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11.1</w:t>
      </w:r>
      <w:r w:rsidRPr="00120B5B">
        <w:rPr>
          <w:rFonts w:ascii="Arial" w:hAnsi="Arial" w:cs="Arial"/>
        </w:rPr>
        <w:tab/>
      </w:r>
      <w:r>
        <w:rPr>
          <w:rFonts w:ascii="Arial" w:hAnsi="Arial" w:cs="Arial"/>
        </w:rPr>
        <w:t xml:space="preserve">Framework’s </w:t>
      </w:r>
      <w:r w:rsidRPr="00120B5B">
        <w:rPr>
          <w:rFonts w:ascii="Arial" w:hAnsi="Arial" w:cs="Arial"/>
        </w:rPr>
        <w:t xml:space="preserve">systems and processes </w:t>
      </w:r>
      <w:r>
        <w:rPr>
          <w:rFonts w:ascii="Arial" w:hAnsi="Arial" w:cs="Arial"/>
        </w:rPr>
        <w:t xml:space="preserve">assist </w:t>
      </w:r>
      <w:r w:rsidRPr="00120B5B">
        <w:rPr>
          <w:rFonts w:ascii="Arial" w:hAnsi="Arial" w:cs="Arial"/>
        </w:rPr>
        <w:t>the coordination of support and enforcement activities whilst providing flexibility to meet the varying needs of service users to ensure a consistent and fair framework.</w:t>
      </w:r>
    </w:p>
    <w:p w14:paraId="420593F1" w14:textId="77777777" w:rsidR="009D2CB5" w:rsidRPr="00120B5B" w:rsidRDefault="009D2CB5" w:rsidP="009D2CB5">
      <w:pPr>
        <w:pStyle w:val="NoSpacing"/>
        <w:ind w:left="720" w:hanging="720"/>
        <w:jc w:val="both"/>
        <w:rPr>
          <w:rFonts w:ascii="Arial" w:hAnsi="Arial" w:cs="Arial"/>
        </w:rPr>
      </w:pPr>
    </w:p>
    <w:p w14:paraId="6B095924" w14:textId="276293FE" w:rsidR="009D2CB5" w:rsidRDefault="009D2CB5" w:rsidP="009D2CB5">
      <w:pPr>
        <w:pStyle w:val="NoSpacing"/>
        <w:ind w:left="720" w:hanging="720"/>
        <w:jc w:val="both"/>
        <w:rPr>
          <w:rFonts w:ascii="Arial" w:hAnsi="Arial" w:cs="Arial"/>
        </w:rPr>
      </w:pPr>
      <w:r w:rsidRPr="00120B5B">
        <w:rPr>
          <w:rFonts w:ascii="Arial" w:hAnsi="Arial" w:cs="Arial"/>
        </w:rPr>
        <w:t>11.2</w:t>
      </w:r>
      <w:r w:rsidRPr="00120B5B">
        <w:rPr>
          <w:rFonts w:ascii="Arial" w:hAnsi="Arial" w:cs="Arial"/>
        </w:rPr>
        <w:tab/>
        <w:t>Framework has invested significant resources in housing management system</w:t>
      </w:r>
      <w:r>
        <w:rPr>
          <w:rFonts w:ascii="Arial" w:hAnsi="Arial" w:cs="Arial"/>
        </w:rPr>
        <w:t>s</w:t>
      </w:r>
      <w:r w:rsidRPr="00120B5B">
        <w:rPr>
          <w:rFonts w:ascii="Arial" w:hAnsi="Arial" w:cs="Arial"/>
        </w:rPr>
        <w:t xml:space="preserve">.  We are committed to the </w:t>
      </w:r>
      <w:r w:rsidRPr="00D72F4E">
        <w:rPr>
          <w:rFonts w:ascii="Arial" w:hAnsi="Arial" w:cs="Arial"/>
        </w:rPr>
        <w:t>ongoing development of systems to deliver efficiency, enhance coordination of activities and the sharing of information across our teams.</w:t>
      </w:r>
      <w:r>
        <w:rPr>
          <w:rFonts w:ascii="Arial" w:hAnsi="Arial" w:cs="Arial"/>
        </w:rPr>
        <w:t xml:space="preserve"> We aim to roll the housing management system forward within 4 working days after the previous </w:t>
      </w:r>
      <w:r w:rsidR="00A32A67">
        <w:rPr>
          <w:rFonts w:ascii="Arial" w:hAnsi="Arial" w:cs="Arial"/>
        </w:rPr>
        <w:t>weekend</w:t>
      </w:r>
      <w:r>
        <w:rPr>
          <w:rFonts w:ascii="Arial" w:hAnsi="Arial" w:cs="Arial"/>
        </w:rPr>
        <w:t>.  This is subject to external issues out of our control such as delayed information from external sources.</w:t>
      </w:r>
    </w:p>
    <w:p w14:paraId="60ADBD0D" w14:textId="77777777" w:rsidR="009D2CB5" w:rsidRPr="00D72F4E" w:rsidRDefault="009D2CB5" w:rsidP="009D2CB5">
      <w:pPr>
        <w:pStyle w:val="NoSpacing"/>
        <w:ind w:left="720" w:hanging="720"/>
        <w:jc w:val="both"/>
        <w:rPr>
          <w:rFonts w:ascii="Arial" w:hAnsi="Arial" w:cs="Arial"/>
        </w:rPr>
      </w:pPr>
    </w:p>
    <w:p w14:paraId="043A890C" w14:textId="77777777" w:rsidR="009D2CB5" w:rsidRDefault="009D2CB5" w:rsidP="009D2CB5">
      <w:pPr>
        <w:pStyle w:val="NoSpacing"/>
        <w:ind w:left="720" w:hanging="720"/>
        <w:jc w:val="both"/>
        <w:rPr>
          <w:rFonts w:ascii="Arial" w:hAnsi="Arial" w:cs="Arial"/>
        </w:rPr>
      </w:pPr>
      <w:r>
        <w:rPr>
          <w:rFonts w:ascii="Arial" w:hAnsi="Arial" w:cs="Arial"/>
        </w:rPr>
        <w:t>11.3</w:t>
      </w:r>
      <w:r>
        <w:rPr>
          <w:rFonts w:ascii="Arial" w:hAnsi="Arial" w:cs="Arial"/>
        </w:rPr>
        <w:tab/>
        <w:t>At key reporting periods such as end of financial year or end of quarterly performance, processing may be delayed to ensure the capture of information, which may have a material impact on the outturn performance.</w:t>
      </w:r>
    </w:p>
    <w:p w14:paraId="54A8455C" w14:textId="77777777" w:rsidR="009D2CB5" w:rsidRPr="00D72F4E" w:rsidRDefault="009D2CB5" w:rsidP="009D2CB5">
      <w:pPr>
        <w:pStyle w:val="NoSpacing"/>
        <w:ind w:left="720" w:hanging="720"/>
        <w:jc w:val="both"/>
        <w:rPr>
          <w:rFonts w:ascii="Arial" w:hAnsi="Arial" w:cs="Arial"/>
        </w:rPr>
      </w:pPr>
    </w:p>
    <w:p w14:paraId="5679B682" w14:textId="77777777" w:rsidR="009D2CB5" w:rsidRPr="00120B5B" w:rsidRDefault="009D2CB5" w:rsidP="009D2CB5">
      <w:pPr>
        <w:pStyle w:val="NoSpacing"/>
        <w:ind w:left="720" w:hanging="720"/>
        <w:jc w:val="both"/>
        <w:rPr>
          <w:rFonts w:ascii="Arial" w:hAnsi="Arial" w:cs="Arial"/>
        </w:rPr>
      </w:pPr>
      <w:r w:rsidRPr="00543B3A">
        <w:rPr>
          <w:rFonts w:ascii="Arial" w:hAnsi="Arial" w:cs="Arial"/>
        </w:rPr>
        <w:t>11.</w:t>
      </w:r>
      <w:r>
        <w:rPr>
          <w:rFonts w:ascii="Arial" w:hAnsi="Arial" w:cs="Arial"/>
        </w:rPr>
        <w:t>4</w:t>
      </w:r>
      <w:r w:rsidRPr="00543B3A">
        <w:rPr>
          <w:rFonts w:ascii="Arial" w:hAnsi="Arial" w:cs="Arial"/>
        </w:rPr>
        <w:t xml:space="preserve"> </w:t>
      </w:r>
      <w:r w:rsidRPr="00543B3A">
        <w:rPr>
          <w:rFonts w:ascii="Arial" w:hAnsi="Arial" w:cs="Arial"/>
        </w:rPr>
        <w:tab/>
        <w:t>Framework offers a range of payment methods to Service Users.  Payment via standing order is the preferred option to support efficiency.  The development of alternative payment solutions will continue to be progressed over the life of this Policy. This is supported by our digital inclusion services.</w:t>
      </w:r>
      <w:r>
        <w:rPr>
          <w:rFonts w:ascii="Arial" w:hAnsi="Arial" w:cs="Arial"/>
        </w:rPr>
        <w:t xml:space="preserve"> </w:t>
      </w:r>
    </w:p>
    <w:p w14:paraId="165B7C23" w14:textId="77777777" w:rsidR="009D2CB5" w:rsidRPr="00120B5B" w:rsidRDefault="009D2CB5" w:rsidP="009D2CB5">
      <w:pPr>
        <w:pStyle w:val="NoSpacing"/>
        <w:ind w:left="720" w:hanging="720"/>
        <w:jc w:val="both"/>
        <w:rPr>
          <w:rFonts w:ascii="Arial" w:hAnsi="Arial" w:cs="Arial"/>
        </w:rPr>
      </w:pPr>
    </w:p>
    <w:p w14:paraId="4EB5F533"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11.</w:t>
      </w:r>
      <w:r>
        <w:rPr>
          <w:rFonts w:ascii="Arial" w:hAnsi="Arial" w:cs="Arial"/>
        </w:rPr>
        <w:t>5</w:t>
      </w:r>
      <w:r w:rsidRPr="00120B5B">
        <w:rPr>
          <w:rFonts w:ascii="Arial" w:hAnsi="Arial" w:cs="Arial"/>
        </w:rPr>
        <w:tab/>
      </w:r>
      <w:r>
        <w:rPr>
          <w:rFonts w:ascii="Arial" w:hAnsi="Arial" w:cs="Arial"/>
        </w:rPr>
        <w:t xml:space="preserve">Framework </w:t>
      </w:r>
      <w:r w:rsidRPr="00120B5B">
        <w:rPr>
          <w:rFonts w:ascii="Arial" w:hAnsi="Arial" w:cs="Arial"/>
        </w:rPr>
        <w:t>will review rent collection processes and procedures periodically</w:t>
      </w:r>
      <w:r>
        <w:rPr>
          <w:rFonts w:ascii="Arial" w:hAnsi="Arial" w:cs="Arial"/>
        </w:rPr>
        <w:t>.  This</w:t>
      </w:r>
      <w:r w:rsidRPr="00120B5B">
        <w:rPr>
          <w:rFonts w:ascii="Arial" w:hAnsi="Arial" w:cs="Arial"/>
        </w:rPr>
        <w:t xml:space="preserve"> will include researching best practice and strategies deployed by other</w:t>
      </w:r>
      <w:r>
        <w:rPr>
          <w:rFonts w:ascii="Arial" w:hAnsi="Arial" w:cs="Arial"/>
        </w:rPr>
        <w:t xml:space="preserve"> providers</w:t>
      </w:r>
      <w:r w:rsidRPr="00120B5B">
        <w:rPr>
          <w:rFonts w:ascii="Arial" w:hAnsi="Arial" w:cs="Arial"/>
        </w:rPr>
        <w:t xml:space="preserve"> as part of our continual improvement approach. </w:t>
      </w:r>
    </w:p>
    <w:p w14:paraId="358C7EFE" w14:textId="77777777" w:rsidR="009D2CB5" w:rsidRPr="00120B5B" w:rsidRDefault="009D2CB5" w:rsidP="009D2CB5">
      <w:pPr>
        <w:pStyle w:val="NoSpacing"/>
        <w:ind w:left="720" w:hanging="720"/>
        <w:jc w:val="both"/>
        <w:rPr>
          <w:rFonts w:ascii="Arial" w:hAnsi="Arial" w:cs="Arial"/>
        </w:rPr>
      </w:pPr>
    </w:p>
    <w:p w14:paraId="69F0AB77"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11.</w:t>
      </w:r>
      <w:r>
        <w:rPr>
          <w:rFonts w:ascii="Arial" w:hAnsi="Arial" w:cs="Arial"/>
        </w:rPr>
        <w:t>6</w:t>
      </w:r>
      <w:r w:rsidRPr="00120B5B">
        <w:rPr>
          <w:rFonts w:ascii="Arial" w:hAnsi="Arial" w:cs="Arial"/>
        </w:rPr>
        <w:tab/>
        <w:t xml:space="preserve">We will encourage innovation from our staff and managers focused on enhancing people capacity, eliminating waste and duplication. We will seek to maximise </w:t>
      </w:r>
      <w:r w:rsidRPr="00120B5B">
        <w:rPr>
          <w:rFonts w:ascii="Arial" w:hAnsi="Arial" w:cs="Arial"/>
        </w:rPr>
        <w:lastRenderedPageBreak/>
        <w:t xml:space="preserve">information available to our workforce and </w:t>
      </w:r>
      <w:r>
        <w:rPr>
          <w:rFonts w:ascii="Arial" w:hAnsi="Arial" w:cs="Arial"/>
        </w:rPr>
        <w:t xml:space="preserve">service users </w:t>
      </w:r>
      <w:r w:rsidRPr="00120B5B">
        <w:rPr>
          <w:rFonts w:ascii="Arial" w:hAnsi="Arial" w:cs="Arial"/>
        </w:rPr>
        <w:t xml:space="preserve">to enhance the ability </w:t>
      </w:r>
      <w:r>
        <w:rPr>
          <w:rFonts w:ascii="Arial" w:hAnsi="Arial" w:cs="Arial"/>
        </w:rPr>
        <w:t>of</w:t>
      </w:r>
      <w:r w:rsidRPr="00120B5B">
        <w:rPr>
          <w:rFonts w:ascii="Arial" w:hAnsi="Arial" w:cs="Arial"/>
        </w:rPr>
        <w:t xml:space="preserve"> our residents to sustain their home.  </w:t>
      </w:r>
    </w:p>
    <w:p w14:paraId="50EEE239" w14:textId="77777777" w:rsidR="009D2CB5" w:rsidRPr="00120B5B" w:rsidRDefault="009D2CB5" w:rsidP="009D2CB5">
      <w:pPr>
        <w:pStyle w:val="NoSpacing"/>
        <w:rPr>
          <w:rFonts w:ascii="Arial" w:hAnsi="Arial" w:cs="Arial"/>
        </w:rPr>
      </w:pPr>
    </w:p>
    <w:p w14:paraId="7769976B" w14:textId="77777777" w:rsidR="009D2CB5" w:rsidRPr="00120B5B" w:rsidRDefault="009D2CB5" w:rsidP="009D2CB5">
      <w:pPr>
        <w:pStyle w:val="NoSpacing"/>
        <w:rPr>
          <w:rFonts w:ascii="Arial" w:hAnsi="Arial" w:cs="Arial"/>
          <w:b/>
        </w:rPr>
      </w:pPr>
      <w:r w:rsidRPr="00120B5B">
        <w:rPr>
          <w:rFonts w:ascii="Arial" w:hAnsi="Arial" w:cs="Arial"/>
          <w:b/>
        </w:rPr>
        <w:t>12</w:t>
      </w:r>
      <w:r w:rsidRPr="00120B5B">
        <w:rPr>
          <w:rFonts w:ascii="Arial" w:hAnsi="Arial" w:cs="Arial"/>
          <w:b/>
        </w:rPr>
        <w:tab/>
      </w:r>
      <w:r w:rsidRPr="00120B5B">
        <w:rPr>
          <w:rFonts w:ascii="Arial" w:hAnsi="Arial" w:cs="Arial"/>
          <w:b/>
          <w:sz w:val="28"/>
        </w:rPr>
        <w:t>Monitoring, Reporting and Performance Targets</w:t>
      </w:r>
    </w:p>
    <w:p w14:paraId="28E2E799" w14:textId="77777777" w:rsidR="009D2CB5" w:rsidRPr="00120B5B" w:rsidRDefault="009D2CB5" w:rsidP="009D2CB5">
      <w:pPr>
        <w:pStyle w:val="NoSpacing"/>
        <w:rPr>
          <w:rFonts w:ascii="Arial" w:hAnsi="Arial" w:cs="Arial"/>
          <w:b/>
          <w:u w:val="single"/>
        </w:rPr>
      </w:pPr>
    </w:p>
    <w:p w14:paraId="23DB98A6" w14:textId="77777777" w:rsidR="009D2CB5" w:rsidRPr="00120B5B" w:rsidRDefault="009D2CB5" w:rsidP="009D2CB5">
      <w:pPr>
        <w:pStyle w:val="NoSpacing"/>
        <w:ind w:left="720" w:hanging="720"/>
        <w:jc w:val="both"/>
        <w:rPr>
          <w:rFonts w:ascii="Arial" w:hAnsi="Arial" w:cs="Arial"/>
        </w:rPr>
      </w:pPr>
      <w:r w:rsidRPr="00120B5B">
        <w:rPr>
          <w:rFonts w:ascii="Arial" w:hAnsi="Arial" w:cs="Arial"/>
        </w:rPr>
        <w:t>12.1</w:t>
      </w:r>
      <w:r w:rsidRPr="00120B5B">
        <w:rPr>
          <w:rFonts w:ascii="Arial" w:hAnsi="Arial" w:cs="Arial"/>
        </w:rPr>
        <w:tab/>
        <w:t xml:space="preserve">The Rents Team is responsible for monitoring the collection of rent and service charges, including arrears, by agreeing Key Performance Indicators and targets set in conjunction with the Senior Leadership Team. </w:t>
      </w:r>
    </w:p>
    <w:p w14:paraId="3A7BD765" w14:textId="77777777" w:rsidR="009D2CB5" w:rsidRPr="00120B5B" w:rsidRDefault="009D2CB5" w:rsidP="009D2CB5">
      <w:pPr>
        <w:pStyle w:val="NoSpacing"/>
        <w:jc w:val="both"/>
        <w:rPr>
          <w:rFonts w:ascii="Arial" w:hAnsi="Arial" w:cs="Arial"/>
        </w:rPr>
      </w:pPr>
    </w:p>
    <w:p w14:paraId="3C031548" w14:textId="77777777" w:rsidR="009D2CB5" w:rsidRDefault="009D2CB5" w:rsidP="009D2CB5">
      <w:pPr>
        <w:pStyle w:val="NoSpacing"/>
        <w:ind w:firstLine="720"/>
        <w:jc w:val="both"/>
        <w:rPr>
          <w:rFonts w:ascii="Arial" w:hAnsi="Arial" w:cs="Arial"/>
        </w:rPr>
      </w:pPr>
    </w:p>
    <w:p w14:paraId="5D5451F5" w14:textId="77777777" w:rsidR="009D2CB5" w:rsidRPr="00120B5B" w:rsidRDefault="009D2CB5" w:rsidP="009D2CB5">
      <w:pPr>
        <w:pStyle w:val="NoSpacing"/>
        <w:ind w:firstLine="720"/>
        <w:jc w:val="both"/>
        <w:rPr>
          <w:rFonts w:ascii="Arial" w:hAnsi="Arial" w:cs="Arial"/>
        </w:rPr>
      </w:pPr>
      <w:r w:rsidRPr="00120B5B">
        <w:rPr>
          <w:rFonts w:ascii="Arial" w:hAnsi="Arial" w:cs="Arial"/>
        </w:rPr>
        <w:t>Key Performance Indicators that will be measured are:</w:t>
      </w:r>
    </w:p>
    <w:p w14:paraId="06D905F0" w14:textId="77777777" w:rsidR="009D2CB5" w:rsidRPr="00120B5B" w:rsidRDefault="009D2CB5" w:rsidP="009D2CB5">
      <w:pPr>
        <w:pStyle w:val="NoSpacing"/>
        <w:jc w:val="both"/>
        <w:rPr>
          <w:rFonts w:ascii="Arial" w:hAnsi="Arial" w:cs="Arial"/>
        </w:rPr>
      </w:pPr>
    </w:p>
    <w:p w14:paraId="4EC58B2C" w14:textId="77777777" w:rsidR="009D2CB5" w:rsidRPr="00120B5B" w:rsidRDefault="009D2CB5" w:rsidP="009D2CB5">
      <w:pPr>
        <w:pStyle w:val="NoSpacing"/>
        <w:numPr>
          <w:ilvl w:val="0"/>
          <w:numId w:val="7"/>
        </w:numPr>
        <w:jc w:val="both"/>
        <w:rPr>
          <w:rFonts w:ascii="Arial" w:hAnsi="Arial" w:cs="Arial"/>
        </w:rPr>
      </w:pPr>
      <w:r w:rsidRPr="00120B5B">
        <w:rPr>
          <w:rFonts w:ascii="Arial" w:hAnsi="Arial" w:cs="Arial"/>
        </w:rPr>
        <w:t>Overall Rent and Service Charge Collection as a % of the charges due.</w:t>
      </w:r>
    </w:p>
    <w:p w14:paraId="0B78FFAA" w14:textId="77777777" w:rsidR="009D2CB5" w:rsidRPr="00120B5B" w:rsidRDefault="009D2CB5" w:rsidP="009D2CB5">
      <w:pPr>
        <w:pStyle w:val="NoSpacing"/>
        <w:numPr>
          <w:ilvl w:val="0"/>
          <w:numId w:val="7"/>
        </w:numPr>
        <w:jc w:val="both"/>
        <w:rPr>
          <w:rFonts w:ascii="Arial" w:hAnsi="Arial" w:cs="Arial"/>
        </w:rPr>
      </w:pPr>
      <w:r w:rsidRPr="00120B5B">
        <w:rPr>
          <w:rFonts w:ascii="Arial" w:hAnsi="Arial" w:cs="Arial"/>
        </w:rPr>
        <w:t>Housing Benefit Collection % of charges due.</w:t>
      </w:r>
    </w:p>
    <w:p w14:paraId="3BF4C6B8" w14:textId="77777777" w:rsidR="009D2CB5" w:rsidRPr="00120B5B" w:rsidRDefault="009D2CB5" w:rsidP="009D2CB5">
      <w:pPr>
        <w:pStyle w:val="NoSpacing"/>
        <w:numPr>
          <w:ilvl w:val="0"/>
          <w:numId w:val="7"/>
        </w:numPr>
        <w:jc w:val="both"/>
        <w:rPr>
          <w:rFonts w:ascii="Arial" w:hAnsi="Arial" w:cs="Arial"/>
        </w:rPr>
      </w:pPr>
      <w:r w:rsidRPr="00120B5B">
        <w:rPr>
          <w:rFonts w:ascii="Arial" w:hAnsi="Arial" w:cs="Arial"/>
        </w:rPr>
        <w:t>Ineligible Rent Collection % of Ineligible service charges due.</w:t>
      </w:r>
    </w:p>
    <w:p w14:paraId="38784FE5" w14:textId="77777777" w:rsidR="009D2CB5" w:rsidRPr="00120B5B" w:rsidRDefault="009D2CB5" w:rsidP="009D2CB5">
      <w:pPr>
        <w:pStyle w:val="NoSpacing"/>
        <w:numPr>
          <w:ilvl w:val="0"/>
          <w:numId w:val="7"/>
        </w:numPr>
        <w:jc w:val="both"/>
        <w:rPr>
          <w:rFonts w:ascii="Arial" w:hAnsi="Arial" w:cs="Arial"/>
        </w:rPr>
      </w:pPr>
      <w:r w:rsidRPr="00120B5B">
        <w:rPr>
          <w:rFonts w:ascii="Arial" w:hAnsi="Arial" w:cs="Arial"/>
        </w:rPr>
        <w:t xml:space="preserve">% Income lost through voids. </w:t>
      </w:r>
    </w:p>
    <w:p w14:paraId="7A9DCFDE" w14:textId="77777777" w:rsidR="009D2CB5" w:rsidRPr="00543B3A" w:rsidRDefault="009D2CB5" w:rsidP="009D2CB5">
      <w:pPr>
        <w:pStyle w:val="NoSpacing"/>
        <w:numPr>
          <w:ilvl w:val="0"/>
          <w:numId w:val="7"/>
        </w:numPr>
        <w:jc w:val="both"/>
        <w:rPr>
          <w:rFonts w:ascii="Arial" w:hAnsi="Arial" w:cs="Arial"/>
        </w:rPr>
      </w:pPr>
      <w:r w:rsidRPr="00543B3A">
        <w:rPr>
          <w:rFonts w:ascii="Arial" w:hAnsi="Arial" w:cs="Arial"/>
        </w:rPr>
        <w:t xml:space="preserve">% of Residents paying Ineligible service charges by standing order. </w:t>
      </w:r>
    </w:p>
    <w:p w14:paraId="13AC3DB0" w14:textId="77777777" w:rsidR="00F11EEB" w:rsidRPr="002761CE" w:rsidRDefault="00F11EEB" w:rsidP="00821DC4">
      <w:pPr>
        <w:rPr>
          <w:rFonts w:ascii="Arial" w:hAnsi="Arial" w:cs="Arial"/>
          <w:b/>
          <w:u w:val="single"/>
        </w:rPr>
      </w:pPr>
    </w:p>
    <w:sectPr w:rsidR="00F11EEB" w:rsidRPr="002761CE" w:rsidSect="00F11EEB">
      <w:type w:val="continuous"/>
      <w:pgSz w:w="11907" w:h="16839" w:code="9"/>
      <w:pgMar w:top="3119" w:right="1701"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EA28" w14:textId="77777777" w:rsidR="008441C2" w:rsidRDefault="008441C2">
      <w:r>
        <w:separator/>
      </w:r>
    </w:p>
  </w:endnote>
  <w:endnote w:type="continuationSeparator" w:id="0">
    <w:p w14:paraId="307AC3FE" w14:textId="77777777" w:rsidR="008441C2" w:rsidRDefault="0084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 Light">
    <w:altName w:val="Times New Roman"/>
    <w:charset w:val="00"/>
    <w:family w:val="auto"/>
    <w:pitch w:val="default"/>
  </w:font>
  <w:font w:name="Poppins SemiBold">
    <w:altName w:val="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77938"/>
      <w:docPartObj>
        <w:docPartGallery w:val="Page Numbers (Bottom of Page)"/>
        <w:docPartUnique/>
      </w:docPartObj>
    </w:sdtPr>
    <w:sdtEndPr/>
    <w:sdtContent>
      <w:sdt>
        <w:sdtPr>
          <w:id w:val="-1769616900"/>
          <w:docPartObj>
            <w:docPartGallery w:val="Page Numbers (Top of Page)"/>
            <w:docPartUnique/>
          </w:docPartObj>
        </w:sdtPr>
        <w:sdtEndPr/>
        <w:sdtContent>
          <w:p w14:paraId="3622B32A" w14:textId="0FED2AD8" w:rsidR="00EE4169" w:rsidRDefault="0028667A" w:rsidP="00EE4169">
            <w:pPr>
              <w:pStyle w:val="Footer"/>
            </w:pPr>
            <w:r>
              <w:t>FM-POL-0</w:t>
            </w:r>
            <w:r w:rsidR="00B32649">
              <w:t>8</w:t>
            </w:r>
            <w:r w:rsidR="00EE4169">
              <w:tab/>
            </w:r>
            <w:r w:rsidR="00EE4169">
              <w:tab/>
              <w:t xml:space="preserve">Page </w:t>
            </w:r>
            <w:r w:rsidR="00EE4169">
              <w:rPr>
                <w:b/>
                <w:bCs/>
              </w:rPr>
              <w:fldChar w:fldCharType="begin"/>
            </w:r>
            <w:r w:rsidR="00EE4169">
              <w:rPr>
                <w:b/>
                <w:bCs/>
              </w:rPr>
              <w:instrText xml:space="preserve"> PAGE </w:instrText>
            </w:r>
            <w:r w:rsidR="00EE4169">
              <w:rPr>
                <w:b/>
                <w:bCs/>
              </w:rPr>
              <w:fldChar w:fldCharType="separate"/>
            </w:r>
            <w:r w:rsidR="00EE4169">
              <w:rPr>
                <w:b/>
                <w:bCs/>
                <w:noProof/>
              </w:rPr>
              <w:t>2</w:t>
            </w:r>
            <w:r w:rsidR="00EE4169">
              <w:rPr>
                <w:b/>
                <w:bCs/>
              </w:rPr>
              <w:fldChar w:fldCharType="end"/>
            </w:r>
            <w:r w:rsidR="00EE4169">
              <w:t xml:space="preserve"> of </w:t>
            </w:r>
            <w:r w:rsidR="00EE4169">
              <w:rPr>
                <w:b/>
                <w:bCs/>
              </w:rPr>
              <w:fldChar w:fldCharType="begin"/>
            </w:r>
            <w:r w:rsidR="00EE4169">
              <w:rPr>
                <w:b/>
                <w:bCs/>
              </w:rPr>
              <w:instrText xml:space="preserve"> NUMPAGES  </w:instrText>
            </w:r>
            <w:r w:rsidR="00EE4169">
              <w:rPr>
                <w:b/>
                <w:bCs/>
              </w:rPr>
              <w:fldChar w:fldCharType="separate"/>
            </w:r>
            <w:r w:rsidR="00EE4169">
              <w:rPr>
                <w:b/>
                <w:bCs/>
                <w:noProof/>
              </w:rPr>
              <w:t>2</w:t>
            </w:r>
            <w:r w:rsidR="00EE4169">
              <w:rPr>
                <w:b/>
                <w:bCs/>
              </w:rPr>
              <w:fldChar w:fldCharType="end"/>
            </w:r>
          </w:p>
        </w:sdtContent>
      </w:sdt>
    </w:sdtContent>
  </w:sdt>
  <w:p w14:paraId="083D43B1" w14:textId="35025925" w:rsidR="00624C02" w:rsidRDefault="006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7329" w14:textId="77777777" w:rsidR="008441C2" w:rsidRDefault="008441C2">
      <w:r>
        <w:separator/>
      </w:r>
    </w:p>
  </w:footnote>
  <w:footnote w:type="continuationSeparator" w:id="0">
    <w:p w14:paraId="3C0768E5" w14:textId="77777777" w:rsidR="008441C2" w:rsidRDefault="0084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23E" w14:textId="1FC70D29" w:rsidR="00624C02" w:rsidRDefault="00110981" w:rsidP="00110981">
    <w:pPr>
      <w:pStyle w:val="Header"/>
      <w:tabs>
        <w:tab w:val="center" w:pos="3637"/>
        <w:tab w:val="left" w:pos="7020"/>
      </w:tabs>
      <w:ind w:left="-1797"/>
    </w:pPr>
    <w:r>
      <w:rPr>
        <w:noProof/>
        <w:sz w:val="20"/>
      </w:rPr>
      <w:drawing>
        <wp:anchor distT="0" distB="0" distL="114300" distR="114300" simplePos="0" relativeHeight="251665408" behindDoc="1" locked="0" layoutInCell="1" allowOverlap="1" wp14:anchorId="251306C0" wp14:editId="641AF9A8">
          <wp:simplePos x="0" y="0"/>
          <wp:positionH relativeFrom="page">
            <wp:posOffset>2210435</wp:posOffset>
          </wp:positionH>
          <wp:positionV relativeFrom="paragraph">
            <wp:posOffset>-255270</wp:posOffset>
          </wp:positionV>
          <wp:extent cx="3147060" cy="1094740"/>
          <wp:effectExtent l="0" t="0" r="0" b="0"/>
          <wp:wrapTight wrapText="bothSides">
            <wp:wrapPolygon edited="0">
              <wp:start x="2746" y="1503"/>
              <wp:lineTo x="523" y="7517"/>
              <wp:lineTo x="1177" y="14283"/>
              <wp:lineTo x="915" y="15411"/>
              <wp:lineTo x="1177" y="16162"/>
              <wp:lineTo x="3530" y="19545"/>
              <wp:lineTo x="4315" y="19545"/>
              <wp:lineTo x="11898" y="15411"/>
              <wp:lineTo x="17390" y="14283"/>
              <wp:lineTo x="20920" y="11652"/>
              <wp:lineTo x="20528" y="8269"/>
              <wp:lineTo x="21182" y="5638"/>
              <wp:lineTo x="19482" y="4886"/>
              <wp:lineTo x="3530" y="1503"/>
              <wp:lineTo x="2746" y="1503"/>
            </wp:wrapPolygon>
          </wp:wrapTight>
          <wp:docPr id="2125392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2601"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3147060" cy="1094740"/>
                  </a:xfrm>
                  <a:prstGeom prst="rect">
                    <a:avLst/>
                  </a:prstGeom>
                </pic:spPr>
              </pic:pic>
            </a:graphicData>
          </a:graphic>
          <wp14:sizeRelH relativeFrom="margin">
            <wp14:pctWidth>0</wp14:pctWidth>
          </wp14:sizeRelH>
          <wp14:sizeRelV relativeFrom="margin">
            <wp14:pctHeight>0</wp14:pctHeight>
          </wp14:sizeRelV>
        </wp:anchor>
      </w:drawing>
    </w:r>
    <w:r>
      <w:tab/>
    </w:r>
    <w:r w:rsidR="00D122AE">
      <w:rPr>
        <w:noProof/>
      </w:rPr>
      <mc:AlternateContent>
        <mc:Choice Requires="wps">
          <w:drawing>
            <wp:anchor distT="0" distB="0" distL="114300" distR="114300" simplePos="0" relativeHeight="251656192" behindDoc="0" locked="0" layoutInCell="1" allowOverlap="1" wp14:anchorId="5C6942B0" wp14:editId="27215A42">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6DD95B4E" w:rsidR="00624C02" w:rsidRPr="00882508" w:rsidRDefault="00126781" w:rsidP="007F1F0F">
                          <w:pPr>
                            <w:jc w:val="center"/>
                            <w:rPr>
                              <w:rFonts w:ascii="Arial" w:hAnsi="Arial" w:cs="Arial"/>
                              <w:sz w:val="28"/>
                              <w:szCs w:val="32"/>
                              <w:lang w:val="en-US"/>
                            </w:rPr>
                          </w:pPr>
                          <w:r>
                            <w:rPr>
                              <w:b/>
                              <w:sz w:val="32"/>
                              <w:szCs w:val="32"/>
                              <w:lang w:val="en-US"/>
                            </w:rPr>
                            <w:t xml:space="preserve">FM-POL-08 </w:t>
                          </w:r>
                          <w:r w:rsidR="00740859">
                            <w:rPr>
                              <w:b/>
                              <w:sz w:val="32"/>
                              <w:szCs w:val="32"/>
                              <w:lang w:val="en-US"/>
                            </w:rPr>
                            <w:t>Rent Collection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6DD95B4E" w:rsidR="00624C02" w:rsidRPr="00882508" w:rsidRDefault="00126781" w:rsidP="007F1F0F">
                    <w:pPr>
                      <w:jc w:val="center"/>
                      <w:rPr>
                        <w:rFonts w:ascii="Arial" w:hAnsi="Arial" w:cs="Arial"/>
                        <w:sz w:val="28"/>
                        <w:szCs w:val="32"/>
                        <w:lang w:val="en-US"/>
                      </w:rPr>
                    </w:pPr>
                    <w:r>
                      <w:rPr>
                        <w:b/>
                        <w:sz w:val="32"/>
                        <w:szCs w:val="32"/>
                        <w:lang w:val="en-US"/>
                      </w:rPr>
                      <w:t xml:space="preserve">FM-POL-08 </w:t>
                    </w:r>
                    <w:r w:rsidR="00740859">
                      <w:rPr>
                        <w:b/>
                        <w:sz w:val="32"/>
                        <w:szCs w:val="32"/>
                        <w:lang w:val="en-US"/>
                      </w:rPr>
                      <w:t>Rent Collection Policy</w:t>
                    </w:r>
                  </w:p>
                </w:txbxContent>
              </v:textbox>
              <w10:wrap anchorx="page"/>
            </v:shape>
          </w:pict>
        </mc:Fallback>
      </mc:AlternateContent>
    </w:r>
    <w:r w:rsidR="0094221A">
      <w:rPr>
        <w:noProof/>
      </w:rPr>
      <mc:AlternateContent>
        <mc:Choice Requires="wps">
          <w:drawing>
            <wp:anchor distT="0" distB="0" distL="114300" distR="114300" simplePos="0" relativeHeight="251661312" behindDoc="0" locked="0" layoutInCell="1" allowOverlap="1" wp14:anchorId="012FC126" wp14:editId="08DDD1E4">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1A5EBE81" w:rsidR="0094221A" w:rsidRPr="00047B73" w:rsidRDefault="000A3112" w:rsidP="0094221A">
                          <w:pPr>
                            <w:rPr>
                              <w:b/>
                              <w:sz w:val="20"/>
                              <w:szCs w:val="20"/>
                              <w:lang w:val="en-US"/>
                            </w:rPr>
                          </w:pPr>
                          <w:r>
                            <w:rPr>
                              <w:b/>
                              <w:sz w:val="20"/>
                              <w:szCs w:val="20"/>
                              <w:lang w:val="en-US"/>
                            </w:rPr>
                            <w:t>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1A5EBE81" w:rsidR="0094221A" w:rsidRPr="00047B73" w:rsidRDefault="000A3112" w:rsidP="0094221A">
                    <w:pPr>
                      <w:rPr>
                        <w:b/>
                        <w:sz w:val="20"/>
                        <w:szCs w:val="20"/>
                        <w:lang w:val="en-US"/>
                      </w:rPr>
                    </w:pPr>
                    <w:r>
                      <w:rPr>
                        <w:b/>
                        <w:sz w:val="20"/>
                        <w:szCs w:val="20"/>
                        <w:lang w:val="en-US"/>
                      </w:rPr>
                      <w:t>Finance</w:t>
                    </w:r>
                  </w:p>
                </w:txbxContent>
              </v:textbox>
            </v:shape>
          </w:pict>
        </mc:Fallback>
      </mc:AlternateContent>
    </w:r>
    <w:r w:rsidR="00624C02">
      <w:rPr>
        <w:noProof/>
      </w:rPr>
      <mc:AlternateContent>
        <mc:Choice Requires="wps">
          <w:drawing>
            <wp:anchor distT="0" distB="0" distL="114300" distR="114300" simplePos="0" relativeHeight="251653120" behindDoc="0" locked="0" layoutInCell="1" allowOverlap="1" wp14:anchorId="604B577F" wp14:editId="53029C7E">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8" type="#_x0000_t202" style="position:absolute;left:0;text-align:left;margin-left:-64.55pt;margin-top:11.65pt;width:197.2pt;height:3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5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TEL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BpoPc5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15F9"/>
    <w:multiLevelType w:val="multilevel"/>
    <w:tmpl w:val="8362B97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4C3C93"/>
    <w:multiLevelType w:val="multilevel"/>
    <w:tmpl w:val="37DC52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71016E2"/>
    <w:multiLevelType w:val="hybridMultilevel"/>
    <w:tmpl w:val="154A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B0A"/>
    <w:multiLevelType w:val="multilevel"/>
    <w:tmpl w:val="E1EA4830"/>
    <w:lvl w:ilvl="0">
      <w:start w:val="1"/>
      <w:numFmt w:val="decimal"/>
      <w:lvlText w:val="%1."/>
      <w:lvlJc w:val="left"/>
      <w:pPr>
        <w:ind w:left="1440" w:hanging="72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4D3F2EF8"/>
    <w:multiLevelType w:val="hybridMultilevel"/>
    <w:tmpl w:val="481245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26B97"/>
    <w:multiLevelType w:val="hybridMultilevel"/>
    <w:tmpl w:val="B11042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66B66"/>
    <w:multiLevelType w:val="hybridMultilevel"/>
    <w:tmpl w:val="D8FA66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72692737">
    <w:abstractNumId w:val="3"/>
  </w:num>
  <w:num w:numId="2" w16cid:durableId="647977446">
    <w:abstractNumId w:val="2"/>
  </w:num>
  <w:num w:numId="3" w16cid:durableId="43214707">
    <w:abstractNumId w:val="1"/>
  </w:num>
  <w:num w:numId="4" w16cid:durableId="2323035">
    <w:abstractNumId w:val="5"/>
  </w:num>
  <w:num w:numId="5" w16cid:durableId="237330207">
    <w:abstractNumId w:val="0"/>
  </w:num>
  <w:num w:numId="6" w16cid:durableId="1296570822">
    <w:abstractNumId w:val="4"/>
  </w:num>
  <w:num w:numId="7" w16cid:durableId="632367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NjE1NjcBskyNLJV0lIJTi4sz8/NACoxrARD8oYssAAAA"/>
  </w:docVars>
  <w:rsids>
    <w:rsidRoot w:val="003E4099"/>
    <w:rsid w:val="00005293"/>
    <w:rsid w:val="00005E20"/>
    <w:rsid w:val="0001035F"/>
    <w:rsid w:val="00013614"/>
    <w:rsid w:val="00014DD1"/>
    <w:rsid w:val="000178C9"/>
    <w:rsid w:val="00022669"/>
    <w:rsid w:val="000240D7"/>
    <w:rsid w:val="00027E26"/>
    <w:rsid w:val="0003278B"/>
    <w:rsid w:val="0003417E"/>
    <w:rsid w:val="00037688"/>
    <w:rsid w:val="00044F9F"/>
    <w:rsid w:val="00046488"/>
    <w:rsid w:val="00047865"/>
    <w:rsid w:val="00047B73"/>
    <w:rsid w:val="00060AF4"/>
    <w:rsid w:val="00061CBA"/>
    <w:rsid w:val="00072493"/>
    <w:rsid w:val="00073CDE"/>
    <w:rsid w:val="0007662B"/>
    <w:rsid w:val="00094854"/>
    <w:rsid w:val="00095FF2"/>
    <w:rsid w:val="000A3112"/>
    <w:rsid w:val="000B1A48"/>
    <w:rsid w:val="000B291D"/>
    <w:rsid w:val="000B56B2"/>
    <w:rsid w:val="000B61E9"/>
    <w:rsid w:val="000F15A7"/>
    <w:rsid w:val="000F246B"/>
    <w:rsid w:val="000F710F"/>
    <w:rsid w:val="00100AD2"/>
    <w:rsid w:val="00101AF4"/>
    <w:rsid w:val="00103DBC"/>
    <w:rsid w:val="00104699"/>
    <w:rsid w:val="00110981"/>
    <w:rsid w:val="00122032"/>
    <w:rsid w:val="0012247D"/>
    <w:rsid w:val="001264D6"/>
    <w:rsid w:val="00126781"/>
    <w:rsid w:val="00126810"/>
    <w:rsid w:val="00127322"/>
    <w:rsid w:val="0013364B"/>
    <w:rsid w:val="00135A99"/>
    <w:rsid w:val="0015483E"/>
    <w:rsid w:val="001614DD"/>
    <w:rsid w:val="001618FF"/>
    <w:rsid w:val="001627BE"/>
    <w:rsid w:val="00170361"/>
    <w:rsid w:val="00170B2A"/>
    <w:rsid w:val="001722E0"/>
    <w:rsid w:val="00172931"/>
    <w:rsid w:val="00177BA8"/>
    <w:rsid w:val="001821C7"/>
    <w:rsid w:val="0018251C"/>
    <w:rsid w:val="001952F5"/>
    <w:rsid w:val="001964C6"/>
    <w:rsid w:val="00197667"/>
    <w:rsid w:val="001A4FCF"/>
    <w:rsid w:val="001B7A42"/>
    <w:rsid w:val="001D278E"/>
    <w:rsid w:val="001D467C"/>
    <w:rsid w:val="001D4EA8"/>
    <w:rsid w:val="001D58E0"/>
    <w:rsid w:val="001D5BCF"/>
    <w:rsid w:val="001E337E"/>
    <w:rsid w:val="001E3FB1"/>
    <w:rsid w:val="001E6A45"/>
    <w:rsid w:val="001F62FA"/>
    <w:rsid w:val="00202DD7"/>
    <w:rsid w:val="00216A98"/>
    <w:rsid w:val="00217CB6"/>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6B1D"/>
    <w:rsid w:val="002705C2"/>
    <w:rsid w:val="002805FF"/>
    <w:rsid w:val="0028667A"/>
    <w:rsid w:val="00286BBC"/>
    <w:rsid w:val="0029538E"/>
    <w:rsid w:val="002A2D7F"/>
    <w:rsid w:val="002A5C62"/>
    <w:rsid w:val="002B78CD"/>
    <w:rsid w:val="002D1B6D"/>
    <w:rsid w:val="002D2592"/>
    <w:rsid w:val="002D3758"/>
    <w:rsid w:val="002D3F59"/>
    <w:rsid w:val="002E3144"/>
    <w:rsid w:val="002E7F2B"/>
    <w:rsid w:val="002F33B3"/>
    <w:rsid w:val="002F361D"/>
    <w:rsid w:val="002F6114"/>
    <w:rsid w:val="00300508"/>
    <w:rsid w:val="00310C04"/>
    <w:rsid w:val="00313B57"/>
    <w:rsid w:val="00313EEE"/>
    <w:rsid w:val="003232FF"/>
    <w:rsid w:val="00331D2E"/>
    <w:rsid w:val="00333245"/>
    <w:rsid w:val="00333BE4"/>
    <w:rsid w:val="00342B9C"/>
    <w:rsid w:val="003453DC"/>
    <w:rsid w:val="00347650"/>
    <w:rsid w:val="00355831"/>
    <w:rsid w:val="00357DEF"/>
    <w:rsid w:val="00364B71"/>
    <w:rsid w:val="00364E48"/>
    <w:rsid w:val="00367D50"/>
    <w:rsid w:val="00374A72"/>
    <w:rsid w:val="003803ED"/>
    <w:rsid w:val="00380EAB"/>
    <w:rsid w:val="0038148B"/>
    <w:rsid w:val="00383213"/>
    <w:rsid w:val="003900C0"/>
    <w:rsid w:val="00390741"/>
    <w:rsid w:val="003A0D38"/>
    <w:rsid w:val="003A2116"/>
    <w:rsid w:val="003A3259"/>
    <w:rsid w:val="003B7FFB"/>
    <w:rsid w:val="003C4AE7"/>
    <w:rsid w:val="003C6956"/>
    <w:rsid w:val="003D5228"/>
    <w:rsid w:val="003D6863"/>
    <w:rsid w:val="003E4099"/>
    <w:rsid w:val="003F3F08"/>
    <w:rsid w:val="003F53F7"/>
    <w:rsid w:val="003F681C"/>
    <w:rsid w:val="003F78DF"/>
    <w:rsid w:val="00406F56"/>
    <w:rsid w:val="004238DE"/>
    <w:rsid w:val="00430D6D"/>
    <w:rsid w:val="00436D1E"/>
    <w:rsid w:val="0044266B"/>
    <w:rsid w:val="00443203"/>
    <w:rsid w:val="004513C7"/>
    <w:rsid w:val="00454C38"/>
    <w:rsid w:val="0045666A"/>
    <w:rsid w:val="00460113"/>
    <w:rsid w:val="00460748"/>
    <w:rsid w:val="004619A9"/>
    <w:rsid w:val="0047226D"/>
    <w:rsid w:val="00472BD7"/>
    <w:rsid w:val="0048538F"/>
    <w:rsid w:val="00494037"/>
    <w:rsid w:val="004A3ECB"/>
    <w:rsid w:val="004A48CF"/>
    <w:rsid w:val="004A566C"/>
    <w:rsid w:val="004B0732"/>
    <w:rsid w:val="004B32FE"/>
    <w:rsid w:val="004B5C44"/>
    <w:rsid w:val="004B7233"/>
    <w:rsid w:val="004B7E50"/>
    <w:rsid w:val="004D0FC8"/>
    <w:rsid w:val="004E2A92"/>
    <w:rsid w:val="004E2C13"/>
    <w:rsid w:val="004F59CD"/>
    <w:rsid w:val="004F68D2"/>
    <w:rsid w:val="005021AA"/>
    <w:rsid w:val="00506C8F"/>
    <w:rsid w:val="005118B4"/>
    <w:rsid w:val="00531278"/>
    <w:rsid w:val="00545098"/>
    <w:rsid w:val="005507A7"/>
    <w:rsid w:val="005534A2"/>
    <w:rsid w:val="005661C0"/>
    <w:rsid w:val="005772AF"/>
    <w:rsid w:val="00582A95"/>
    <w:rsid w:val="005843CA"/>
    <w:rsid w:val="00590327"/>
    <w:rsid w:val="005907DC"/>
    <w:rsid w:val="005A68FC"/>
    <w:rsid w:val="005A7840"/>
    <w:rsid w:val="005C28DB"/>
    <w:rsid w:val="005C3F33"/>
    <w:rsid w:val="005C4A55"/>
    <w:rsid w:val="005D5439"/>
    <w:rsid w:val="005E07ED"/>
    <w:rsid w:val="005E7C1C"/>
    <w:rsid w:val="005E7E6B"/>
    <w:rsid w:val="006015FA"/>
    <w:rsid w:val="00605135"/>
    <w:rsid w:val="00605F15"/>
    <w:rsid w:val="006165F2"/>
    <w:rsid w:val="006239C8"/>
    <w:rsid w:val="00624C02"/>
    <w:rsid w:val="006320E1"/>
    <w:rsid w:val="0064022A"/>
    <w:rsid w:val="00641F6A"/>
    <w:rsid w:val="006426B6"/>
    <w:rsid w:val="00643B44"/>
    <w:rsid w:val="00647E72"/>
    <w:rsid w:val="00654153"/>
    <w:rsid w:val="00657E7D"/>
    <w:rsid w:val="006634C3"/>
    <w:rsid w:val="00666249"/>
    <w:rsid w:val="006752C9"/>
    <w:rsid w:val="00677FE6"/>
    <w:rsid w:val="00684663"/>
    <w:rsid w:val="00693DB7"/>
    <w:rsid w:val="00697C4C"/>
    <w:rsid w:val="00697E95"/>
    <w:rsid w:val="006A7107"/>
    <w:rsid w:val="006B3189"/>
    <w:rsid w:val="006D2F3E"/>
    <w:rsid w:val="006D3EE2"/>
    <w:rsid w:val="006D59B3"/>
    <w:rsid w:val="006D7C59"/>
    <w:rsid w:val="006E0FCA"/>
    <w:rsid w:val="006E4888"/>
    <w:rsid w:val="006F0F9A"/>
    <w:rsid w:val="006F1507"/>
    <w:rsid w:val="006F3CD6"/>
    <w:rsid w:val="007006D8"/>
    <w:rsid w:val="007050E3"/>
    <w:rsid w:val="007162AB"/>
    <w:rsid w:val="00717B8B"/>
    <w:rsid w:val="00727B16"/>
    <w:rsid w:val="00740376"/>
    <w:rsid w:val="00740859"/>
    <w:rsid w:val="00767A26"/>
    <w:rsid w:val="00770E0A"/>
    <w:rsid w:val="00781F9E"/>
    <w:rsid w:val="0078210E"/>
    <w:rsid w:val="00790AB3"/>
    <w:rsid w:val="0079640E"/>
    <w:rsid w:val="00796D75"/>
    <w:rsid w:val="007B479A"/>
    <w:rsid w:val="007B7ED1"/>
    <w:rsid w:val="007D348B"/>
    <w:rsid w:val="007E55D5"/>
    <w:rsid w:val="007E5CA5"/>
    <w:rsid w:val="007F1F0F"/>
    <w:rsid w:val="007F2B04"/>
    <w:rsid w:val="007F7C83"/>
    <w:rsid w:val="008061AB"/>
    <w:rsid w:val="00821DC4"/>
    <w:rsid w:val="0082223F"/>
    <w:rsid w:val="008229DE"/>
    <w:rsid w:val="00826157"/>
    <w:rsid w:val="0083252B"/>
    <w:rsid w:val="00836EBD"/>
    <w:rsid w:val="008441C2"/>
    <w:rsid w:val="0085254E"/>
    <w:rsid w:val="00852BAC"/>
    <w:rsid w:val="008653A2"/>
    <w:rsid w:val="0086578E"/>
    <w:rsid w:val="00867486"/>
    <w:rsid w:val="0087034D"/>
    <w:rsid w:val="00871062"/>
    <w:rsid w:val="00874276"/>
    <w:rsid w:val="008755A3"/>
    <w:rsid w:val="00875C0D"/>
    <w:rsid w:val="00877E5C"/>
    <w:rsid w:val="008801E2"/>
    <w:rsid w:val="00882508"/>
    <w:rsid w:val="00884C36"/>
    <w:rsid w:val="00887326"/>
    <w:rsid w:val="00891092"/>
    <w:rsid w:val="00891ADF"/>
    <w:rsid w:val="008B0519"/>
    <w:rsid w:val="008B5B66"/>
    <w:rsid w:val="008B746A"/>
    <w:rsid w:val="008C169E"/>
    <w:rsid w:val="008C265B"/>
    <w:rsid w:val="008C5E79"/>
    <w:rsid w:val="008C73BB"/>
    <w:rsid w:val="008D222A"/>
    <w:rsid w:val="008D628E"/>
    <w:rsid w:val="008F0CEE"/>
    <w:rsid w:val="00901CAB"/>
    <w:rsid w:val="00902C70"/>
    <w:rsid w:val="00902DCC"/>
    <w:rsid w:val="0090407B"/>
    <w:rsid w:val="009102E5"/>
    <w:rsid w:val="00912178"/>
    <w:rsid w:val="00914DDA"/>
    <w:rsid w:val="00917165"/>
    <w:rsid w:val="0091722F"/>
    <w:rsid w:val="00924777"/>
    <w:rsid w:val="0093071C"/>
    <w:rsid w:val="00930935"/>
    <w:rsid w:val="009364DD"/>
    <w:rsid w:val="0094221A"/>
    <w:rsid w:val="00952137"/>
    <w:rsid w:val="00955A42"/>
    <w:rsid w:val="0096016C"/>
    <w:rsid w:val="00963263"/>
    <w:rsid w:val="00977F99"/>
    <w:rsid w:val="00981A50"/>
    <w:rsid w:val="00984D1C"/>
    <w:rsid w:val="00987512"/>
    <w:rsid w:val="00991953"/>
    <w:rsid w:val="00995D06"/>
    <w:rsid w:val="009A23A6"/>
    <w:rsid w:val="009B370B"/>
    <w:rsid w:val="009B6735"/>
    <w:rsid w:val="009C4659"/>
    <w:rsid w:val="009C4F7D"/>
    <w:rsid w:val="009D1737"/>
    <w:rsid w:val="009D2CB5"/>
    <w:rsid w:val="009D471C"/>
    <w:rsid w:val="009D6C13"/>
    <w:rsid w:val="009D7DEA"/>
    <w:rsid w:val="009E60EC"/>
    <w:rsid w:val="009E6BB5"/>
    <w:rsid w:val="009F65F1"/>
    <w:rsid w:val="00A058BE"/>
    <w:rsid w:val="00A16981"/>
    <w:rsid w:val="00A20703"/>
    <w:rsid w:val="00A21EB9"/>
    <w:rsid w:val="00A32A67"/>
    <w:rsid w:val="00A363D2"/>
    <w:rsid w:val="00A4035B"/>
    <w:rsid w:val="00A40D15"/>
    <w:rsid w:val="00A43767"/>
    <w:rsid w:val="00A43DBA"/>
    <w:rsid w:val="00A475AC"/>
    <w:rsid w:val="00A50277"/>
    <w:rsid w:val="00A504E9"/>
    <w:rsid w:val="00A65D06"/>
    <w:rsid w:val="00A72F2C"/>
    <w:rsid w:val="00A76E97"/>
    <w:rsid w:val="00A8730F"/>
    <w:rsid w:val="00A87428"/>
    <w:rsid w:val="00A9510F"/>
    <w:rsid w:val="00AA0308"/>
    <w:rsid w:val="00AA073F"/>
    <w:rsid w:val="00AA35D0"/>
    <w:rsid w:val="00AA5EBF"/>
    <w:rsid w:val="00AA723E"/>
    <w:rsid w:val="00AA78D9"/>
    <w:rsid w:val="00AB27AD"/>
    <w:rsid w:val="00AB493A"/>
    <w:rsid w:val="00AC5061"/>
    <w:rsid w:val="00AC56B7"/>
    <w:rsid w:val="00AD2732"/>
    <w:rsid w:val="00AE4A18"/>
    <w:rsid w:val="00AF0A31"/>
    <w:rsid w:val="00AF153C"/>
    <w:rsid w:val="00AF6636"/>
    <w:rsid w:val="00B0476C"/>
    <w:rsid w:val="00B120EC"/>
    <w:rsid w:val="00B1258E"/>
    <w:rsid w:val="00B233F8"/>
    <w:rsid w:val="00B24D86"/>
    <w:rsid w:val="00B256A8"/>
    <w:rsid w:val="00B25D03"/>
    <w:rsid w:val="00B27A99"/>
    <w:rsid w:val="00B32649"/>
    <w:rsid w:val="00B34782"/>
    <w:rsid w:val="00B34B93"/>
    <w:rsid w:val="00B35E4B"/>
    <w:rsid w:val="00B424BA"/>
    <w:rsid w:val="00B444C3"/>
    <w:rsid w:val="00B44876"/>
    <w:rsid w:val="00B5277C"/>
    <w:rsid w:val="00B56CBA"/>
    <w:rsid w:val="00B571F1"/>
    <w:rsid w:val="00B6005D"/>
    <w:rsid w:val="00B60C4E"/>
    <w:rsid w:val="00B615D6"/>
    <w:rsid w:val="00B66C84"/>
    <w:rsid w:val="00B75396"/>
    <w:rsid w:val="00B842A6"/>
    <w:rsid w:val="00B9595D"/>
    <w:rsid w:val="00BA0603"/>
    <w:rsid w:val="00BA0A6A"/>
    <w:rsid w:val="00BA2DC8"/>
    <w:rsid w:val="00BA5D83"/>
    <w:rsid w:val="00BB22CE"/>
    <w:rsid w:val="00BB2ECF"/>
    <w:rsid w:val="00BC238D"/>
    <w:rsid w:val="00BC377C"/>
    <w:rsid w:val="00BC5A47"/>
    <w:rsid w:val="00BD174E"/>
    <w:rsid w:val="00BD2345"/>
    <w:rsid w:val="00BD3164"/>
    <w:rsid w:val="00BE26D0"/>
    <w:rsid w:val="00BE7FEB"/>
    <w:rsid w:val="00BF0FC7"/>
    <w:rsid w:val="00BF643E"/>
    <w:rsid w:val="00C02487"/>
    <w:rsid w:val="00C05F52"/>
    <w:rsid w:val="00C11B3F"/>
    <w:rsid w:val="00C124E3"/>
    <w:rsid w:val="00C161AC"/>
    <w:rsid w:val="00C161FC"/>
    <w:rsid w:val="00C20766"/>
    <w:rsid w:val="00C600AA"/>
    <w:rsid w:val="00C650DC"/>
    <w:rsid w:val="00C72601"/>
    <w:rsid w:val="00C77875"/>
    <w:rsid w:val="00C818EC"/>
    <w:rsid w:val="00C86BF4"/>
    <w:rsid w:val="00C959D6"/>
    <w:rsid w:val="00C95EB3"/>
    <w:rsid w:val="00C976E4"/>
    <w:rsid w:val="00CB1CAA"/>
    <w:rsid w:val="00CB271F"/>
    <w:rsid w:val="00CC1452"/>
    <w:rsid w:val="00CC4D29"/>
    <w:rsid w:val="00CD393F"/>
    <w:rsid w:val="00CD5670"/>
    <w:rsid w:val="00CD6ABD"/>
    <w:rsid w:val="00CE0C9C"/>
    <w:rsid w:val="00CE57B5"/>
    <w:rsid w:val="00CF08D2"/>
    <w:rsid w:val="00CF20BF"/>
    <w:rsid w:val="00CF4FD5"/>
    <w:rsid w:val="00D122AE"/>
    <w:rsid w:val="00D125D2"/>
    <w:rsid w:val="00D134C0"/>
    <w:rsid w:val="00D2141B"/>
    <w:rsid w:val="00D229E4"/>
    <w:rsid w:val="00D24551"/>
    <w:rsid w:val="00D351E0"/>
    <w:rsid w:val="00D36CB2"/>
    <w:rsid w:val="00D419DE"/>
    <w:rsid w:val="00D45E5B"/>
    <w:rsid w:val="00D53950"/>
    <w:rsid w:val="00D5548F"/>
    <w:rsid w:val="00D57F93"/>
    <w:rsid w:val="00D646CC"/>
    <w:rsid w:val="00D72D32"/>
    <w:rsid w:val="00D757E0"/>
    <w:rsid w:val="00D86928"/>
    <w:rsid w:val="00D9267C"/>
    <w:rsid w:val="00D9562E"/>
    <w:rsid w:val="00DA1725"/>
    <w:rsid w:val="00DA4EC6"/>
    <w:rsid w:val="00DB4CB3"/>
    <w:rsid w:val="00DE125D"/>
    <w:rsid w:val="00DE4E3A"/>
    <w:rsid w:val="00DF1600"/>
    <w:rsid w:val="00DF2E11"/>
    <w:rsid w:val="00E0242C"/>
    <w:rsid w:val="00E0426C"/>
    <w:rsid w:val="00E07794"/>
    <w:rsid w:val="00E102D7"/>
    <w:rsid w:val="00E11190"/>
    <w:rsid w:val="00E13807"/>
    <w:rsid w:val="00E24510"/>
    <w:rsid w:val="00E3321C"/>
    <w:rsid w:val="00E34F2D"/>
    <w:rsid w:val="00E35C26"/>
    <w:rsid w:val="00E415DE"/>
    <w:rsid w:val="00E53487"/>
    <w:rsid w:val="00E63166"/>
    <w:rsid w:val="00E73AC5"/>
    <w:rsid w:val="00E73B63"/>
    <w:rsid w:val="00E771E7"/>
    <w:rsid w:val="00E84C80"/>
    <w:rsid w:val="00E87F58"/>
    <w:rsid w:val="00E913AE"/>
    <w:rsid w:val="00E96E10"/>
    <w:rsid w:val="00EA71B0"/>
    <w:rsid w:val="00EB60B4"/>
    <w:rsid w:val="00ED5067"/>
    <w:rsid w:val="00ED56A9"/>
    <w:rsid w:val="00EE4169"/>
    <w:rsid w:val="00EF1101"/>
    <w:rsid w:val="00EF15AD"/>
    <w:rsid w:val="00EF4E9D"/>
    <w:rsid w:val="00F01276"/>
    <w:rsid w:val="00F04161"/>
    <w:rsid w:val="00F0640F"/>
    <w:rsid w:val="00F06BD0"/>
    <w:rsid w:val="00F11EEB"/>
    <w:rsid w:val="00F127BD"/>
    <w:rsid w:val="00F14E4A"/>
    <w:rsid w:val="00F150A4"/>
    <w:rsid w:val="00F212F7"/>
    <w:rsid w:val="00F21B5E"/>
    <w:rsid w:val="00F25075"/>
    <w:rsid w:val="00F313DB"/>
    <w:rsid w:val="00F32E90"/>
    <w:rsid w:val="00F34407"/>
    <w:rsid w:val="00F44DB0"/>
    <w:rsid w:val="00F51754"/>
    <w:rsid w:val="00F519D3"/>
    <w:rsid w:val="00F54E8C"/>
    <w:rsid w:val="00F5664C"/>
    <w:rsid w:val="00F573ED"/>
    <w:rsid w:val="00F61D9E"/>
    <w:rsid w:val="00F62A61"/>
    <w:rsid w:val="00F814C6"/>
    <w:rsid w:val="00F81AD1"/>
    <w:rsid w:val="00F82D18"/>
    <w:rsid w:val="00F85CED"/>
    <w:rsid w:val="00F93FA7"/>
    <w:rsid w:val="00FA1ADD"/>
    <w:rsid w:val="00FA2A9C"/>
    <w:rsid w:val="00FB12BF"/>
    <w:rsid w:val="00FB1496"/>
    <w:rsid w:val="00FB2434"/>
    <w:rsid w:val="00FB4F93"/>
    <w:rsid w:val="00FC6C36"/>
    <w:rsid w:val="00FE33E7"/>
    <w:rsid w:val="00FE728E"/>
    <w:rsid w:val="00FF0247"/>
    <w:rsid w:val="00FF5A2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34"/>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 w:type="paragraph" w:customStyle="1" w:styleId="TableParagraph">
    <w:name w:val="Table Paragraph"/>
    <w:basedOn w:val="Normal"/>
    <w:uiPriority w:val="1"/>
    <w:qFormat/>
    <w:rsid w:val="00061CBA"/>
    <w:pPr>
      <w:widowControl w:val="0"/>
      <w:autoSpaceDE w:val="0"/>
      <w:autoSpaceDN w:val="0"/>
    </w:pPr>
    <w:rPr>
      <w:rFonts w:ascii="Poppins SemiBold" w:eastAsia="Poppins SemiBold" w:hAnsi="Poppins SemiBold" w:cs="Poppins SemiBold"/>
      <w:sz w:val="22"/>
      <w:szCs w:val="22"/>
      <w:lang w:val="en-US" w:eastAsia="en-US"/>
    </w:rPr>
  </w:style>
  <w:style w:type="table" w:customStyle="1" w:styleId="TableGrid2">
    <w:name w:val="Table Grid2"/>
    <w:basedOn w:val="TableNormal"/>
    <w:next w:val="TableGrid"/>
    <w:uiPriority w:val="59"/>
    <w:rsid w:val="00F11E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37242d-deb2-4980-a7c4-bb1eff36d912">
      <Terms xmlns="http://schemas.microsoft.com/office/infopath/2007/PartnerControls"/>
    </lcf76f155ced4ddcb4097134ff3c332f>
    <TaxCatchAll xmlns="f341958d-fa4d-4738-806f-6ff786d0e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4" ma:contentTypeDescription="Create a new document." ma:contentTypeScope="" ma:versionID="ff20e16604d4e287594dee09bfb9cc24">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cb2fa8fe1ad77f36616b0d0ebc9ce903"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bc3e1-da29-4dd2-97ef-cbfc0616be5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cdb83a-ba08-472d-b71e-7fa37b26b8b3}" ma:internalName="TaxCatchAll" ma:showField="CatchAllData" ma:web="f341958d-fa4d-4738-806f-6ff786d0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customXml/itemProps2.xml><?xml version="1.0" encoding="utf-8"?>
<ds:datastoreItem xmlns:ds="http://schemas.openxmlformats.org/officeDocument/2006/customXml" ds:itemID="{2B395EA6-CD97-4731-89C8-CB9A219F018D}">
  <ds:schemaRefs>
    <ds:schemaRef ds:uri="http://schemas.microsoft.com/office/2006/metadata/properties"/>
    <ds:schemaRef ds:uri="http://schemas.microsoft.com/office/infopath/2007/PartnerControls"/>
    <ds:schemaRef ds:uri="1086c31f-d916-4e96-8972-568bf20861e5"/>
    <ds:schemaRef ds:uri="9337242d-deb2-4980-a7c4-bb1eff36d912"/>
    <ds:schemaRef ds:uri="f341958d-fa4d-4738-806f-6ff786d0eba4"/>
  </ds:schemaRefs>
</ds:datastoreItem>
</file>

<file path=customXml/itemProps3.xml><?xml version="1.0" encoding="utf-8"?>
<ds:datastoreItem xmlns:ds="http://schemas.openxmlformats.org/officeDocument/2006/customXml" ds:itemID="{772C9C1C-5582-4009-9CA3-E6A85946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7242d-deb2-4980-a7c4-bb1eff36d912"/>
    <ds:schemaRef ds:uri="f341958d-fa4d-4738-806f-6ff786d0e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1D637-597F-46BF-8208-9592F8B2A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4</cp:revision>
  <cp:lastPrinted>2026-02-24T09:30:00Z</cp:lastPrinted>
  <dcterms:created xsi:type="dcterms:W3CDTF">2026-02-24T09:28:00Z</dcterms:created>
  <dcterms:modified xsi:type="dcterms:W3CDTF">2026-02-24T09:48:00Z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y fmtid="{D5CDD505-2E9C-101B-9397-08002B2CF9AE}" pid="3" name="GrammarlyDocumentId">
    <vt:lpwstr>728c38f7cd688cd2e722f4f4c381189a71edfa3f6a9da24424f6f573ebc9b152</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