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6B6B" w14:textId="77777777" w:rsidR="00ED4908" w:rsidRDefault="002C23CA" w:rsidP="00520613">
      <w:pPr>
        <w:spacing w:after="120"/>
        <w:ind w:left="3600" w:firstLine="720"/>
        <w:jc w:val="right"/>
      </w:pPr>
      <w:r>
        <w:rPr>
          <w:noProof/>
          <w:lang w:eastAsia="en-GB"/>
        </w:rPr>
        <w:t xml:space="preserve">               </w:t>
      </w:r>
      <w:r w:rsidRPr="002C23CA">
        <w:rPr>
          <w:noProof/>
          <w:lang w:eastAsia="en-GB"/>
        </w:rPr>
        <w:drawing>
          <wp:inline distT="0" distB="0" distL="0" distR="0" wp14:anchorId="7084F065" wp14:editId="1858874B">
            <wp:extent cx="2667000" cy="700862"/>
            <wp:effectExtent l="0" t="0" r="0" b="444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2989" cy="70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70F99" w14:textId="762E846B" w:rsidR="005A5B60" w:rsidRPr="00520613" w:rsidRDefault="005A5B60" w:rsidP="71E3D1FE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71E3D1FE">
        <w:rPr>
          <w:rFonts w:ascii="Arial" w:hAnsi="Arial" w:cs="Arial"/>
          <w:b/>
          <w:bCs/>
          <w:sz w:val="23"/>
          <w:szCs w:val="23"/>
        </w:rPr>
        <w:t>Framework</w:t>
      </w:r>
      <w:r w:rsidR="00FA4A39" w:rsidRPr="71E3D1FE">
        <w:rPr>
          <w:rFonts w:ascii="Arial" w:hAnsi="Arial" w:cs="Arial"/>
          <w:b/>
          <w:bCs/>
          <w:sz w:val="23"/>
          <w:szCs w:val="23"/>
        </w:rPr>
        <w:t xml:space="preserve">’s </w:t>
      </w:r>
      <w:r w:rsidR="0009527C" w:rsidRPr="71E3D1FE">
        <w:rPr>
          <w:rFonts w:ascii="Arial" w:hAnsi="Arial" w:cs="Arial"/>
          <w:b/>
          <w:bCs/>
          <w:sz w:val="23"/>
          <w:szCs w:val="23"/>
        </w:rPr>
        <w:t>G</w:t>
      </w:r>
      <w:r w:rsidR="00FA4A39" w:rsidRPr="71E3D1FE">
        <w:rPr>
          <w:rFonts w:ascii="Arial" w:hAnsi="Arial" w:cs="Arial"/>
          <w:b/>
          <w:bCs/>
          <w:sz w:val="23"/>
          <w:szCs w:val="23"/>
        </w:rPr>
        <w:t xml:space="preserve">ender </w:t>
      </w:r>
      <w:r w:rsidR="0009527C" w:rsidRPr="71E3D1FE">
        <w:rPr>
          <w:rFonts w:ascii="Arial" w:hAnsi="Arial" w:cs="Arial"/>
          <w:b/>
          <w:bCs/>
          <w:sz w:val="23"/>
          <w:szCs w:val="23"/>
        </w:rPr>
        <w:t>P</w:t>
      </w:r>
      <w:r w:rsidR="00FA4A39" w:rsidRPr="71E3D1FE">
        <w:rPr>
          <w:rFonts w:ascii="Arial" w:hAnsi="Arial" w:cs="Arial"/>
          <w:b/>
          <w:bCs/>
          <w:sz w:val="23"/>
          <w:szCs w:val="23"/>
        </w:rPr>
        <w:t xml:space="preserve">ay </w:t>
      </w:r>
      <w:r w:rsidR="0009527C" w:rsidRPr="71E3D1FE">
        <w:rPr>
          <w:rFonts w:ascii="Arial" w:hAnsi="Arial" w:cs="Arial"/>
          <w:b/>
          <w:bCs/>
          <w:sz w:val="23"/>
          <w:szCs w:val="23"/>
        </w:rPr>
        <w:t>G</w:t>
      </w:r>
      <w:r w:rsidR="00FA4A39" w:rsidRPr="71E3D1FE">
        <w:rPr>
          <w:rFonts w:ascii="Arial" w:hAnsi="Arial" w:cs="Arial"/>
          <w:b/>
          <w:bCs/>
          <w:sz w:val="23"/>
          <w:szCs w:val="23"/>
        </w:rPr>
        <w:t>ap</w:t>
      </w:r>
    </w:p>
    <w:p w14:paraId="4AAB96B9" w14:textId="360622B8" w:rsidR="71E3D1FE" w:rsidRDefault="71E3D1FE" w:rsidP="71E3D1FE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791E303A" w14:textId="6B7E62DD" w:rsidR="005A5B60" w:rsidRPr="00A46E63" w:rsidRDefault="005A5B60" w:rsidP="0009527C">
      <w:pPr>
        <w:spacing w:after="120"/>
        <w:jc w:val="both"/>
        <w:rPr>
          <w:rFonts w:ascii="Arial" w:hAnsi="Arial" w:cs="Arial"/>
        </w:rPr>
      </w:pPr>
      <w:r w:rsidRPr="00A46E63">
        <w:rPr>
          <w:rFonts w:ascii="Arial" w:hAnsi="Arial" w:cs="Arial"/>
        </w:rPr>
        <w:t>Framework employ</w:t>
      </w:r>
      <w:r w:rsidR="005F12B6" w:rsidRPr="00A46E63">
        <w:rPr>
          <w:rFonts w:ascii="Arial" w:hAnsi="Arial" w:cs="Arial"/>
        </w:rPr>
        <w:t>s</w:t>
      </w:r>
      <w:r w:rsidRPr="00A46E63">
        <w:rPr>
          <w:rFonts w:ascii="Arial" w:hAnsi="Arial" w:cs="Arial"/>
        </w:rPr>
        <w:t xml:space="preserve"> </w:t>
      </w:r>
      <w:r w:rsidR="0076745A">
        <w:rPr>
          <w:rFonts w:ascii="Arial" w:hAnsi="Arial" w:cs="Arial"/>
        </w:rPr>
        <w:t>approximately</w:t>
      </w:r>
      <w:r w:rsidR="003C611A">
        <w:rPr>
          <w:rFonts w:ascii="Arial" w:hAnsi="Arial" w:cs="Arial"/>
        </w:rPr>
        <w:t xml:space="preserve"> </w:t>
      </w:r>
      <w:r w:rsidR="003C21B0" w:rsidRPr="00A46E63">
        <w:rPr>
          <w:rFonts w:ascii="Arial" w:hAnsi="Arial" w:cs="Arial"/>
        </w:rPr>
        <w:t>1</w:t>
      </w:r>
      <w:r w:rsidR="0009527C" w:rsidRPr="00A46E63">
        <w:rPr>
          <w:rFonts w:ascii="Arial" w:hAnsi="Arial" w:cs="Arial"/>
        </w:rPr>
        <w:t>,</w:t>
      </w:r>
      <w:r w:rsidR="003C21B0" w:rsidRPr="00A46E63">
        <w:rPr>
          <w:rFonts w:ascii="Arial" w:hAnsi="Arial" w:cs="Arial"/>
        </w:rPr>
        <w:t>0</w:t>
      </w:r>
      <w:r w:rsidR="008F5253" w:rsidRPr="00A46E63">
        <w:rPr>
          <w:rFonts w:ascii="Arial" w:hAnsi="Arial" w:cs="Arial"/>
        </w:rPr>
        <w:t>00</w:t>
      </w:r>
      <w:r w:rsidR="005F12B6" w:rsidRPr="00A46E63">
        <w:rPr>
          <w:rFonts w:ascii="Arial" w:hAnsi="Arial" w:cs="Arial"/>
        </w:rPr>
        <w:t xml:space="preserve"> </w:t>
      </w:r>
      <w:r w:rsidR="0076745A">
        <w:rPr>
          <w:rFonts w:ascii="Arial" w:hAnsi="Arial" w:cs="Arial"/>
        </w:rPr>
        <w:t>people</w:t>
      </w:r>
      <w:r w:rsidR="003C611A">
        <w:rPr>
          <w:rFonts w:ascii="Arial" w:hAnsi="Arial" w:cs="Arial"/>
        </w:rPr>
        <w:t xml:space="preserve">. They are remunerated through various </w:t>
      </w:r>
      <w:r w:rsidRPr="00A46E63">
        <w:rPr>
          <w:rFonts w:ascii="Arial" w:hAnsi="Arial" w:cs="Arial"/>
        </w:rPr>
        <w:t>pay</w:t>
      </w:r>
      <w:r w:rsidR="003C611A">
        <w:rPr>
          <w:rFonts w:ascii="Arial" w:hAnsi="Arial" w:cs="Arial"/>
        </w:rPr>
        <w:t>, grading and reward</w:t>
      </w:r>
      <w:r w:rsidR="00FA4A39" w:rsidRPr="00A46E63">
        <w:rPr>
          <w:rFonts w:ascii="Arial" w:hAnsi="Arial" w:cs="Arial"/>
        </w:rPr>
        <w:t xml:space="preserve"> </w:t>
      </w:r>
      <w:r w:rsidRPr="00A46E63">
        <w:rPr>
          <w:rFonts w:ascii="Arial" w:hAnsi="Arial" w:cs="Arial"/>
        </w:rPr>
        <w:t>structures</w:t>
      </w:r>
      <w:r w:rsidR="00B1770E">
        <w:rPr>
          <w:rFonts w:ascii="Arial" w:hAnsi="Arial" w:cs="Arial"/>
        </w:rPr>
        <w:t>,</w:t>
      </w:r>
      <w:r w:rsidR="003C611A">
        <w:rPr>
          <w:rFonts w:ascii="Arial" w:hAnsi="Arial" w:cs="Arial"/>
        </w:rPr>
        <w:t xml:space="preserve"> includ</w:t>
      </w:r>
      <w:r w:rsidR="00B1770E">
        <w:rPr>
          <w:rFonts w:ascii="Arial" w:hAnsi="Arial" w:cs="Arial"/>
        </w:rPr>
        <w:t>ing</w:t>
      </w:r>
      <w:r w:rsidR="003C611A">
        <w:rPr>
          <w:rFonts w:ascii="Arial" w:hAnsi="Arial" w:cs="Arial"/>
        </w:rPr>
        <w:t xml:space="preserve"> Fr</w:t>
      </w:r>
      <w:r w:rsidRPr="00A46E63">
        <w:rPr>
          <w:rFonts w:ascii="Arial" w:hAnsi="Arial" w:cs="Arial"/>
        </w:rPr>
        <w:t>amework</w:t>
      </w:r>
      <w:r w:rsidR="00CE2BEA" w:rsidRPr="00A46E63">
        <w:rPr>
          <w:rFonts w:ascii="Arial" w:hAnsi="Arial" w:cs="Arial"/>
        </w:rPr>
        <w:t>’</w:t>
      </w:r>
      <w:r w:rsidRPr="00A46E63">
        <w:rPr>
          <w:rFonts w:ascii="Arial" w:hAnsi="Arial" w:cs="Arial"/>
        </w:rPr>
        <w:t xml:space="preserve">s own </w:t>
      </w:r>
      <w:r w:rsidR="003C611A">
        <w:rPr>
          <w:rFonts w:ascii="Arial" w:hAnsi="Arial" w:cs="Arial"/>
        </w:rPr>
        <w:t>system (for most staff)</w:t>
      </w:r>
      <w:r w:rsidR="00B1770E">
        <w:rPr>
          <w:rFonts w:ascii="Arial" w:hAnsi="Arial" w:cs="Arial"/>
        </w:rPr>
        <w:t xml:space="preserve">, </w:t>
      </w:r>
      <w:r w:rsidRPr="00A46E63">
        <w:rPr>
          <w:rFonts w:ascii="Arial" w:hAnsi="Arial" w:cs="Arial"/>
        </w:rPr>
        <w:t>Agenda for Change</w:t>
      </w:r>
      <w:r w:rsidR="0009527C" w:rsidRPr="00A46E63">
        <w:rPr>
          <w:rFonts w:ascii="Arial" w:hAnsi="Arial" w:cs="Arial"/>
        </w:rPr>
        <w:t xml:space="preserve"> </w:t>
      </w:r>
      <w:r w:rsidR="003C611A">
        <w:rPr>
          <w:rFonts w:ascii="Arial" w:hAnsi="Arial" w:cs="Arial"/>
        </w:rPr>
        <w:t>(A4C)</w:t>
      </w:r>
      <w:r w:rsidR="00B1770E">
        <w:rPr>
          <w:rFonts w:ascii="Arial" w:hAnsi="Arial" w:cs="Arial"/>
        </w:rPr>
        <w:t xml:space="preserve"> </w:t>
      </w:r>
      <w:r w:rsidRPr="00A46E63">
        <w:rPr>
          <w:rFonts w:ascii="Arial" w:hAnsi="Arial" w:cs="Arial"/>
        </w:rPr>
        <w:t xml:space="preserve">and others </w:t>
      </w:r>
      <w:r w:rsidR="003C611A">
        <w:rPr>
          <w:rFonts w:ascii="Arial" w:hAnsi="Arial" w:cs="Arial"/>
        </w:rPr>
        <w:t xml:space="preserve">arising from </w:t>
      </w:r>
      <w:r w:rsidRPr="00A46E63">
        <w:rPr>
          <w:rFonts w:ascii="Arial" w:hAnsi="Arial" w:cs="Arial"/>
        </w:rPr>
        <w:t>TUPE transfers</w:t>
      </w:r>
      <w:r w:rsidR="0076745A">
        <w:rPr>
          <w:rFonts w:ascii="Arial" w:hAnsi="Arial" w:cs="Arial"/>
        </w:rPr>
        <w:t xml:space="preserve"> such as </w:t>
      </w:r>
      <w:r w:rsidR="00B1770E" w:rsidRPr="00A46E63">
        <w:rPr>
          <w:rFonts w:ascii="Arial" w:hAnsi="Arial" w:cs="Arial"/>
        </w:rPr>
        <w:t xml:space="preserve">Probation </w:t>
      </w:r>
      <w:r w:rsidR="00B1770E">
        <w:rPr>
          <w:rFonts w:ascii="Arial" w:hAnsi="Arial" w:cs="Arial"/>
        </w:rPr>
        <w:t xml:space="preserve">and </w:t>
      </w:r>
      <w:r w:rsidR="0076745A">
        <w:rPr>
          <w:rFonts w:ascii="Arial" w:hAnsi="Arial" w:cs="Arial"/>
        </w:rPr>
        <w:t xml:space="preserve">We Are </w:t>
      </w:r>
      <w:proofErr w:type="gramStart"/>
      <w:r w:rsidR="0076745A">
        <w:rPr>
          <w:rFonts w:ascii="Arial" w:hAnsi="Arial" w:cs="Arial"/>
        </w:rPr>
        <w:t>With</w:t>
      </w:r>
      <w:proofErr w:type="gramEnd"/>
      <w:r w:rsidR="0076745A">
        <w:rPr>
          <w:rFonts w:ascii="Arial" w:hAnsi="Arial" w:cs="Arial"/>
        </w:rPr>
        <w:t xml:space="preserve"> You (WAWY)</w:t>
      </w:r>
      <w:r w:rsidRPr="00A46E63">
        <w:rPr>
          <w:rFonts w:ascii="Arial" w:hAnsi="Arial" w:cs="Arial"/>
        </w:rPr>
        <w:t xml:space="preserve">. </w:t>
      </w:r>
    </w:p>
    <w:p w14:paraId="5773E3F8" w14:textId="37C5876D" w:rsidR="008F5253" w:rsidRPr="00A46E63" w:rsidRDefault="008F5253" w:rsidP="00520613">
      <w:pPr>
        <w:spacing w:after="120"/>
        <w:jc w:val="both"/>
        <w:rPr>
          <w:rFonts w:ascii="Arial" w:hAnsi="Arial" w:cs="Arial"/>
        </w:rPr>
      </w:pPr>
      <w:proofErr w:type="gramStart"/>
      <w:r w:rsidRPr="00A46E63">
        <w:rPr>
          <w:rFonts w:ascii="Arial" w:hAnsi="Arial" w:cs="Arial"/>
        </w:rPr>
        <w:t>The majority of</w:t>
      </w:r>
      <w:proofErr w:type="gramEnd"/>
      <w:r w:rsidRPr="00A46E63">
        <w:rPr>
          <w:rFonts w:ascii="Arial" w:hAnsi="Arial" w:cs="Arial"/>
        </w:rPr>
        <w:t xml:space="preserve"> salaries are set within the boundaries of Framework’s </w:t>
      </w:r>
      <w:r w:rsidR="003C611A">
        <w:rPr>
          <w:rFonts w:ascii="Arial" w:hAnsi="Arial" w:cs="Arial"/>
        </w:rPr>
        <w:t xml:space="preserve">own </w:t>
      </w:r>
      <w:r w:rsidRPr="00A46E63">
        <w:rPr>
          <w:rFonts w:ascii="Arial" w:hAnsi="Arial" w:cs="Arial"/>
        </w:rPr>
        <w:t>pay structure</w:t>
      </w:r>
      <w:r w:rsidR="003C611A">
        <w:rPr>
          <w:rFonts w:ascii="Arial" w:hAnsi="Arial" w:cs="Arial"/>
        </w:rPr>
        <w:t xml:space="preserve">. Within this, </w:t>
      </w:r>
      <w:r w:rsidR="0075068C">
        <w:rPr>
          <w:rFonts w:ascii="Arial" w:hAnsi="Arial" w:cs="Arial"/>
        </w:rPr>
        <w:t xml:space="preserve">some </w:t>
      </w:r>
      <w:r w:rsidRPr="00A46E63">
        <w:rPr>
          <w:rFonts w:ascii="Arial" w:hAnsi="Arial" w:cs="Arial"/>
        </w:rPr>
        <w:t xml:space="preserve">staff move through a pay grade based on their length of service and </w:t>
      </w:r>
      <w:r w:rsidR="0075068C">
        <w:rPr>
          <w:rFonts w:ascii="Arial" w:hAnsi="Arial" w:cs="Arial"/>
        </w:rPr>
        <w:t xml:space="preserve">where they do, that is </w:t>
      </w:r>
      <w:r w:rsidRPr="00A46E63">
        <w:rPr>
          <w:rFonts w:ascii="Arial" w:hAnsi="Arial" w:cs="Arial"/>
        </w:rPr>
        <w:t xml:space="preserve">irrespective of </w:t>
      </w:r>
      <w:r w:rsidR="003C611A">
        <w:rPr>
          <w:rFonts w:ascii="Arial" w:hAnsi="Arial" w:cs="Arial"/>
        </w:rPr>
        <w:t xml:space="preserve">their </w:t>
      </w:r>
      <w:r w:rsidRPr="00A46E63">
        <w:rPr>
          <w:rFonts w:ascii="Arial" w:hAnsi="Arial" w:cs="Arial"/>
        </w:rPr>
        <w:t>gender.</w:t>
      </w:r>
    </w:p>
    <w:p w14:paraId="5E8DCAA1" w14:textId="032ADEC1" w:rsidR="0009527C" w:rsidRPr="00A46E63" w:rsidRDefault="003C611A" w:rsidP="0052061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</w:t>
      </w:r>
      <w:r w:rsidR="008F5253" w:rsidRPr="00A46E63">
        <w:rPr>
          <w:rFonts w:ascii="Arial" w:hAnsi="Arial" w:cs="Arial"/>
        </w:rPr>
        <w:t>legislative guidance, those employees</w:t>
      </w:r>
      <w:r w:rsidR="0009527C" w:rsidRPr="00A46E63">
        <w:rPr>
          <w:rFonts w:ascii="Arial" w:hAnsi="Arial" w:cs="Arial"/>
        </w:rPr>
        <w:t xml:space="preserve"> earning less than </w:t>
      </w:r>
      <w:r w:rsidR="005753EC" w:rsidRPr="00A46E63">
        <w:rPr>
          <w:rFonts w:ascii="Arial" w:hAnsi="Arial" w:cs="Arial"/>
        </w:rPr>
        <w:t xml:space="preserve">their </w:t>
      </w:r>
      <w:r w:rsidR="0009527C" w:rsidRPr="00A46E63">
        <w:rPr>
          <w:rFonts w:ascii="Arial" w:hAnsi="Arial" w:cs="Arial"/>
        </w:rPr>
        <w:t>full pay</w:t>
      </w:r>
      <w:r w:rsidR="008F5253" w:rsidRPr="00A46E63">
        <w:rPr>
          <w:rFonts w:ascii="Arial" w:hAnsi="Arial" w:cs="Arial"/>
        </w:rPr>
        <w:t xml:space="preserve"> on the </w:t>
      </w:r>
      <w:r>
        <w:rPr>
          <w:rFonts w:ascii="Arial" w:hAnsi="Arial" w:cs="Arial"/>
        </w:rPr>
        <w:t xml:space="preserve">date of the </w:t>
      </w:r>
      <w:r w:rsidR="008F5253" w:rsidRPr="00A46E63">
        <w:rPr>
          <w:rFonts w:ascii="Arial" w:hAnsi="Arial" w:cs="Arial"/>
        </w:rPr>
        <w:t xml:space="preserve">‘snapshot’ </w:t>
      </w:r>
      <w:r w:rsidR="0009527C" w:rsidRPr="00A46E63">
        <w:rPr>
          <w:rFonts w:ascii="Arial" w:hAnsi="Arial" w:cs="Arial"/>
        </w:rPr>
        <w:t>have been excluded from the calculations.</w:t>
      </w:r>
      <w:r w:rsidR="008F5253" w:rsidRPr="00A46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means </w:t>
      </w:r>
      <w:r w:rsidR="00696D56" w:rsidRPr="00A46E63">
        <w:rPr>
          <w:rFonts w:ascii="Arial" w:hAnsi="Arial" w:cs="Arial"/>
        </w:rPr>
        <w:t>those in receipt of sick pay</w:t>
      </w:r>
      <w:r>
        <w:rPr>
          <w:rFonts w:ascii="Arial" w:hAnsi="Arial" w:cs="Arial"/>
        </w:rPr>
        <w:t xml:space="preserve">, amongst others, are </w:t>
      </w:r>
      <w:r w:rsidR="00696D56" w:rsidRPr="00A46E63">
        <w:rPr>
          <w:rFonts w:ascii="Arial" w:hAnsi="Arial" w:cs="Arial"/>
        </w:rPr>
        <w:t xml:space="preserve">excluded. </w:t>
      </w:r>
      <w:r w:rsidR="0009527C" w:rsidRPr="00A46E63">
        <w:rPr>
          <w:rFonts w:ascii="Arial" w:hAnsi="Arial" w:cs="Arial"/>
        </w:rPr>
        <w:t xml:space="preserve">The </w:t>
      </w:r>
      <w:r w:rsidR="00696D56" w:rsidRPr="00A46E63">
        <w:rPr>
          <w:rFonts w:ascii="Arial" w:hAnsi="Arial" w:cs="Arial"/>
        </w:rPr>
        <w:t>percentage of employees</w:t>
      </w:r>
      <w:r w:rsidR="0009527C" w:rsidRPr="00A46E63">
        <w:rPr>
          <w:rFonts w:ascii="Arial" w:hAnsi="Arial" w:cs="Arial"/>
        </w:rPr>
        <w:t xml:space="preserve"> excluded </w:t>
      </w:r>
      <w:r w:rsidR="00696D56" w:rsidRPr="00A46E63">
        <w:rPr>
          <w:rFonts w:ascii="Arial" w:hAnsi="Arial" w:cs="Arial"/>
        </w:rPr>
        <w:t>from this data set</w:t>
      </w:r>
      <w:r w:rsidR="0009527C" w:rsidRPr="00A46E63">
        <w:rPr>
          <w:rFonts w:ascii="Arial" w:hAnsi="Arial" w:cs="Arial"/>
        </w:rPr>
        <w:t xml:space="preserve"> is approximately </w:t>
      </w:r>
      <w:r w:rsidR="0076745A">
        <w:rPr>
          <w:rFonts w:ascii="Arial" w:hAnsi="Arial" w:cs="Arial"/>
        </w:rPr>
        <w:t>2</w:t>
      </w:r>
      <w:r w:rsidR="004E02D0">
        <w:rPr>
          <w:rFonts w:ascii="Arial" w:hAnsi="Arial" w:cs="Arial"/>
        </w:rPr>
        <w:t>4</w:t>
      </w:r>
      <w:r w:rsidR="005C7A51" w:rsidRPr="00A46E63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this year</w:t>
      </w:r>
      <w:r w:rsidR="004E02D0">
        <w:rPr>
          <w:rFonts w:ascii="Arial" w:hAnsi="Arial" w:cs="Arial"/>
        </w:rPr>
        <w:t>, a slight reduction from 28% last year</w:t>
      </w:r>
      <w:r w:rsidR="003C21B0" w:rsidRPr="00A46E63">
        <w:rPr>
          <w:rFonts w:ascii="Arial" w:hAnsi="Arial" w:cs="Arial"/>
        </w:rPr>
        <w:t>.</w:t>
      </w:r>
      <w:r w:rsidR="005C7A51" w:rsidRPr="00A46E63">
        <w:rPr>
          <w:rFonts w:ascii="Arial" w:hAnsi="Arial" w:cs="Arial"/>
        </w:rPr>
        <w:t xml:space="preserve">  </w:t>
      </w:r>
    </w:p>
    <w:p w14:paraId="5CDDE6B0" w14:textId="68AA4336" w:rsidR="00FA4A39" w:rsidRPr="00A46E63" w:rsidRDefault="00FA4A39" w:rsidP="003C611A">
      <w:pPr>
        <w:spacing w:after="80"/>
        <w:jc w:val="both"/>
        <w:rPr>
          <w:rFonts w:ascii="Arial" w:hAnsi="Arial" w:cs="Arial"/>
        </w:rPr>
      </w:pPr>
      <w:r w:rsidRPr="00A46E63">
        <w:rPr>
          <w:rFonts w:ascii="Arial" w:hAnsi="Arial" w:cs="Arial"/>
        </w:rPr>
        <w:t xml:space="preserve">The gender </w:t>
      </w:r>
      <w:proofErr w:type="gramStart"/>
      <w:r w:rsidRPr="00A46E63">
        <w:rPr>
          <w:rFonts w:ascii="Arial" w:hAnsi="Arial" w:cs="Arial"/>
        </w:rPr>
        <w:t>pay</w:t>
      </w:r>
      <w:proofErr w:type="gramEnd"/>
      <w:r w:rsidRPr="00A46E63">
        <w:rPr>
          <w:rFonts w:ascii="Arial" w:hAnsi="Arial" w:cs="Arial"/>
        </w:rPr>
        <w:t xml:space="preserve"> gap data for Framework</w:t>
      </w:r>
      <w:r w:rsidR="00C40391" w:rsidRPr="00A46E63">
        <w:rPr>
          <w:rFonts w:ascii="Arial" w:hAnsi="Arial" w:cs="Arial"/>
        </w:rPr>
        <w:t>,</w:t>
      </w:r>
      <w:r w:rsidRPr="00A46E63">
        <w:rPr>
          <w:rFonts w:ascii="Arial" w:hAnsi="Arial" w:cs="Arial"/>
        </w:rPr>
        <w:t xml:space="preserve"> </w:t>
      </w:r>
      <w:r w:rsidR="0009527C" w:rsidRPr="00A46E63">
        <w:rPr>
          <w:rFonts w:ascii="Arial" w:hAnsi="Arial" w:cs="Arial"/>
        </w:rPr>
        <w:t>at t</w:t>
      </w:r>
      <w:r w:rsidRPr="00A46E63">
        <w:rPr>
          <w:rFonts w:ascii="Arial" w:hAnsi="Arial" w:cs="Arial"/>
        </w:rPr>
        <w:t xml:space="preserve">he </w:t>
      </w:r>
      <w:r w:rsidR="007502AD" w:rsidRPr="00A46E63">
        <w:rPr>
          <w:rFonts w:ascii="Arial" w:hAnsi="Arial" w:cs="Arial"/>
        </w:rPr>
        <w:t>snapshot</w:t>
      </w:r>
      <w:r w:rsidRPr="00A46E63">
        <w:rPr>
          <w:rFonts w:ascii="Arial" w:hAnsi="Arial" w:cs="Arial"/>
        </w:rPr>
        <w:t xml:space="preserve"> date of 5</w:t>
      </w:r>
      <w:r w:rsidR="00C34D6F" w:rsidRPr="00A46E63">
        <w:rPr>
          <w:rFonts w:ascii="Arial" w:hAnsi="Arial" w:cs="Arial"/>
        </w:rPr>
        <w:t>th</w:t>
      </w:r>
      <w:r w:rsidRPr="00A46E63">
        <w:rPr>
          <w:rFonts w:ascii="Arial" w:hAnsi="Arial" w:cs="Arial"/>
        </w:rPr>
        <w:t xml:space="preserve"> April </w:t>
      </w:r>
      <w:r w:rsidR="000926A5" w:rsidRPr="00A46E63">
        <w:rPr>
          <w:rFonts w:ascii="Arial" w:hAnsi="Arial" w:cs="Arial"/>
        </w:rPr>
        <w:t>20</w:t>
      </w:r>
      <w:r w:rsidR="005C7A51" w:rsidRPr="00A46E63">
        <w:rPr>
          <w:rFonts w:ascii="Arial" w:hAnsi="Arial" w:cs="Arial"/>
        </w:rPr>
        <w:t>2</w:t>
      </w:r>
      <w:r w:rsidR="004E02D0">
        <w:rPr>
          <w:rFonts w:ascii="Arial" w:hAnsi="Arial" w:cs="Arial"/>
        </w:rPr>
        <w:t>5</w:t>
      </w:r>
      <w:r w:rsidR="00C40391" w:rsidRPr="00A46E63">
        <w:rPr>
          <w:rFonts w:ascii="Arial" w:hAnsi="Arial" w:cs="Arial"/>
        </w:rPr>
        <w:t>,</w:t>
      </w:r>
      <w:r w:rsidR="000926A5" w:rsidRPr="00A46E63">
        <w:rPr>
          <w:rFonts w:ascii="Arial" w:hAnsi="Arial" w:cs="Arial"/>
        </w:rPr>
        <w:t xml:space="preserve"> </w:t>
      </w:r>
      <w:r w:rsidRPr="00A46E63">
        <w:rPr>
          <w:rFonts w:ascii="Arial" w:hAnsi="Arial" w:cs="Arial"/>
        </w:rPr>
        <w:t>is</w:t>
      </w:r>
      <w:r w:rsidR="006558A8" w:rsidRPr="00A46E63">
        <w:rPr>
          <w:rFonts w:ascii="Arial" w:hAnsi="Arial" w:cs="Arial"/>
        </w:rPr>
        <w:t>:</w:t>
      </w:r>
    </w:p>
    <w:tbl>
      <w:tblPr>
        <w:tblStyle w:val="TableGrid"/>
        <w:tblW w:w="9917" w:type="dxa"/>
        <w:tblLayout w:type="fixed"/>
        <w:tblLook w:val="04A0" w:firstRow="1" w:lastRow="0" w:firstColumn="1" w:lastColumn="0" w:noHBand="0" w:noVBand="1"/>
      </w:tblPr>
      <w:tblGrid>
        <w:gridCol w:w="2263"/>
        <w:gridCol w:w="1559"/>
        <w:gridCol w:w="1559"/>
        <w:gridCol w:w="1559"/>
        <w:gridCol w:w="1559"/>
        <w:gridCol w:w="1418"/>
      </w:tblGrid>
      <w:tr w:rsidR="00AF4A37" w:rsidRPr="00A46E63" w14:paraId="03B40E28" w14:textId="77777777" w:rsidTr="00AF4A37">
        <w:tc>
          <w:tcPr>
            <w:tcW w:w="2263" w:type="dxa"/>
          </w:tcPr>
          <w:p w14:paraId="47E7E3E0" w14:textId="77777777" w:rsidR="00AF4A37" w:rsidRPr="00A46E63" w:rsidRDefault="00AF4A37" w:rsidP="003C611A">
            <w:pPr>
              <w:spacing w:before="60" w:after="40"/>
              <w:rPr>
                <w:rFonts w:ascii="Arial" w:hAnsi="Arial" w:cs="Arial"/>
                <w:b/>
              </w:rPr>
            </w:pPr>
            <w:bookmarkStart w:id="0" w:name="_Hlk129260409"/>
          </w:p>
        </w:tc>
        <w:tc>
          <w:tcPr>
            <w:tcW w:w="1559" w:type="dxa"/>
          </w:tcPr>
          <w:p w14:paraId="5BE55892" w14:textId="2A196369" w:rsidR="00AF4A37" w:rsidRDefault="004D0263" w:rsidP="003C611A">
            <w:pPr>
              <w:spacing w:before="6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4D0263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April 2025</w:t>
            </w:r>
          </w:p>
        </w:tc>
        <w:tc>
          <w:tcPr>
            <w:tcW w:w="1559" w:type="dxa"/>
          </w:tcPr>
          <w:p w14:paraId="19C5AC1A" w14:textId="6C60E2B0" w:rsidR="00AF4A37" w:rsidRDefault="00AF4A37" w:rsidP="003C611A">
            <w:pPr>
              <w:spacing w:before="6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DD7174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April</w:t>
            </w:r>
          </w:p>
          <w:p w14:paraId="273C89E7" w14:textId="53E5A15F" w:rsidR="00AF4A37" w:rsidRDefault="00AF4A37" w:rsidP="003C611A">
            <w:pPr>
              <w:spacing w:before="6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</w:t>
            </w:r>
          </w:p>
        </w:tc>
        <w:tc>
          <w:tcPr>
            <w:tcW w:w="1559" w:type="dxa"/>
          </w:tcPr>
          <w:p w14:paraId="3A62BD21" w14:textId="2C4821FA" w:rsidR="00AF4A37" w:rsidRPr="00DD7174" w:rsidRDefault="00AF4A37" w:rsidP="003C611A">
            <w:pPr>
              <w:spacing w:before="60" w:after="4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DD7174">
              <w:rPr>
                <w:rFonts w:ascii="Arial" w:hAnsi="Arial" w:cs="Arial"/>
                <w:b/>
                <w:color w:val="808080" w:themeColor="background1" w:themeShade="80"/>
              </w:rPr>
              <w:t>5</w:t>
            </w:r>
            <w:r w:rsidRPr="00DD7174">
              <w:rPr>
                <w:rFonts w:ascii="Arial" w:hAnsi="Arial" w:cs="Arial"/>
                <w:b/>
                <w:color w:val="808080" w:themeColor="background1" w:themeShade="80"/>
                <w:vertAlign w:val="superscript"/>
              </w:rPr>
              <w:t>th</w:t>
            </w:r>
            <w:r w:rsidRPr="00DD7174">
              <w:rPr>
                <w:rFonts w:ascii="Arial" w:hAnsi="Arial" w:cs="Arial"/>
                <w:b/>
                <w:color w:val="808080" w:themeColor="background1" w:themeShade="80"/>
              </w:rPr>
              <w:t xml:space="preserve"> April 2023</w:t>
            </w:r>
          </w:p>
        </w:tc>
        <w:tc>
          <w:tcPr>
            <w:tcW w:w="1559" w:type="dxa"/>
          </w:tcPr>
          <w:p w14:paraId="3DDA05A1" w14:textId="083C1A0B" w:rsidR="00AF4A37" w:rsidRPr="00F57CDD" w:rsidRDefault="00AF4A37" w:rsidP="003C611A">
            <w:pPr>
              <w:spacing w:before="60" w:after="4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F57CDD">
              <w:rPr>
                <w:rFonts w:ascii="Arial" w:hAnsi="Arial" w:cs="Arial"/>
                <w:b/>
                <w:color w:val="808080" w:themeColor="background1" w:themeShade="80"/>
              </w:rPr>
              <w:t>5</w:t>
            </w:r>
            <w:r w:rsidRPr="00DD7174">
              <w:rPr>
                <w:rFonts w:ascii="Arial" w:hAnsi="Arial" w:cs="Arial"/>
                <w:b/>
                <w:color w:val="808080" w:themeColor="background1" w:themeShade="8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808080" w:themeColor="background1" w:themeShade="80"/>
              </w:rPr>
              <w:t xml:space="preserve"> </w:t>
            </w:r>
            <w:r w:rsidRPr="00F57CDD">
              <w:rPr>
                <w:rFonts w:ascii="Arial" w:hAnsi="Arial" w:cs="Arial"/>
                <w:b/>
                <w:color w:val="808080" w:themeColor="background1" w:themeShade="80"/>
              </w:rPr>
              <w:t>April 2022</w:t>
            </w:r>
          </w:p>
        </w:tc>
        <w:tc>
          <w:tcPr>
            <w:tcW w:w="1418" w:type="dxa"/>
          </w:tcPr>
          <w:p w14:paraId="31221B0D" w14:textId="7B4C0147" w:rsidR="00AF4A37" w:rsidRPr="00A46E63" w:rsidRDefault="00AF4A37" w:rsidP="003C611A">
            <w:pPr>
              <w:spacing w:before="60" w:after="4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A46E63">
              <w:rPr>
                <w:rFonts w:ascii="Arial" w:hAnsi="Arial" w:cs="Arial"/>
                <w:b/>
                <w:color w:val="808080" w:themeColor="background1" w:themeShade="80"/>
              </w:rPr>
              <w:t>5</w:t>
            </w:r>
            <w:r w:rsidRPr="00DD7174">
              <w:rPr>
                <w:rFonts w:ascii="Arial" w:hAnsi="Arial" w:cs="Arial"/>
                <w:b/>
                <w:color w:val="808080" w:themeColor="background1" w:themeShade="8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808080" w:themeColor="background1" w:themeShade="80"/>
              </w:rPr>
              <w:t xml:space="preserve"> A</w:t>
            </w:r>
            <w:r w:rsidRPr="00A46E63">
              <w:rPr>
                <w:rFonts w:ascii="Arial" w:hAnsi="Arial" w:cs="Arial"/>
                <w:b/>
                <w:color w:val="808080" w:themeColor="background1" w:themeShade="80"/>
              </w:rPr>
              <w:t>pril 2021</w:t>
            </w:r>
            <w:r>
              <w:rPr>
                <w:rFonts w:ascii="Arial" w:hAnsi="Arial" w:cs="Arial"/>
                <w:b/>
                <w:color w:val="808080" w:themeColor="background1" w:themeShade="80"/>
              </w:rPr>
              <w:t>**</w:t>
            </w:r>
          </w:p>
        </w:tc>
      </w:tr>
      <w:tr w:rsidR="00AF4A37" w:rsidRPr="00A46E63" w14:paraId="32CF99BE" w14:textId="77777777" w:rsidTr="00AF4A37">
        <w:tc>
          <w:tcPr>
            <w:tcW w:w="2263" w:type="dxa"/>
          </w:tcPr>
          <w:p w14:paraId="2D8FB49A" w14:textId="77777777" w:rsidR="00AF4A37" w:rsidRPr="00A46E63" w:rsidRDefault="00AF4A37" w:rsidP="003C611A">
            <w:pPr>
              <w:spacing w:before="40" w:after="20"/>
              <w:rPr>
                <w:rFonts w:ascii="Arial" w:hAnsi="Arial" w:cs="Arial"/>
              </w:rPr>
            </w:pPr>
            <w:r w:rsidRPr="00A46E63">
              <w:rPr>
                <w:rFonts w:ascii="Arial" w:hAnsi="Arial" w:cs="Arial"/>
              </w:rPr>
              <w:t>Mean gender pay gap</w:t>
            </w:r>
          </w:p>
        </w:tc>
        <w:tc>
          <w:tcPr>
            <w:tcW w:w="1559" w:type="dxa"/>
          </w:tcPr>
          <w:p w14:paraId="1B24ECFC" w14:textId="7CF16142" w:rsidR="00AF4A37" w:rsidRDefault="004D0263" w:rsidP="003C611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0.32%</w:t>
            </w:r>
          </w:p>
        </w:tc>
        <w:tc>
          <w:tcPr>
            <w:tcW w:w="1559" w:type="dxa"/>
          </w:tcPr>
          <w:p w14:paraId="39EA7C40" w14:textId="6D7ACD5A" w:rsidR="00AF4A37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5.32%</w:t>
            </w:r>
          </w:p>
        </w:tc>
        <w:tc>
          <w:tcPr>
            <w:tcW w:w="1559" w:type="dxa"/>
          </w:tcPr>
          <w:p w14:paraId="5118F5BA" w14:textId="58832335" w:rsidR="00AF4A37" w:rsidRPr="00DD7174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DD7174">
              <w:rPr>
                <w:rFonts w:ascii="Arial" w:hAnsi="Arial" w:cs="Arial"/>
                <w:b/>
                <w:color w:val="808080" w:themeColor="background1" w:themeShade="80"/>
              </w:rPr>
              <w:t>6.20%</w:t>
            </w:r>
          </w:p>
        </w:tc>
        <w:tc>
          <w:tcPr>
            <w:tcW w:w="1559" w:type="dxa"/>
          </w:tcPr>
          <w:p w14:paraId="329AA8AF" w14:textId="78FE5BE9" w:rsidR="00AF4A37" w:rsidRPr="00F57CDD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F57CDD">
              <w:rPr>
                <w:rFonts w:ascii="Arial" w:hAnsi="Arial" w:cs="Arial"/>
                <w:b/>
                <w:color w:val="808080" w:themeColor="background1" w:themeShade="80"/>
              </w:rPr>
              <w:t>7.16%</w:t>
            </w:r>
          </w:p>
        </w:tc>
        <w:tc>
          <w:tcPr>
            <w:tcW w:w="1418" w:type="dxa"/>
          </w:tcPr>
          <w:p w14:paraId="07D15CE1" w14:textId="02DEAC03" w:rsidR="00AF4A37" w:rsidRPr="00A46E63" w:rsidRDefault="00AF4A37" w:rsidP="003C611A">
            <w:pPr>
              <w:spacing w:before="40" w:after="20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6.22</w:t>
            </w:r>
            <w:r w:rsidRPr="00A46E63">
              <w:rPr>
                <w:rFonts w:ascii="Arial" w:hAnsi="Arial" w:cs="Arial"/>
                <w:color w:val="808080" w:themeColor="background1" w:themeShade="80"/>
              </w:rPr>
              <w:t>%</w:t>
            </w:r>
          </w:p>
        </w:tc>
      </w:tr>
      <w:tr w:rsidR="00AF4A37" w:rsidRPr="00A46E63" w14:paraId="299E34FD" w14:textId="77777777" w:rsidTr="00AF4A37">
        <w:tc>
          <w:tcPr>
            <w:tcW w:w="2263" w:type="dxa"/>
          </w:tcPr>
          <w:p w14:paraId="6149D2BB" w14:textId="77777777" w:rsidR="00AF4A37" w:rsidRPr="00A46E63" w:rsidRDefault="00AF4A37" w:rsidP="003C611A">
            <w:pPr>
              <w:spacing w:before="40" w:after="20"/>
              <w:rPr>
                <w:rFonts w:ascii="Arial" w:hAnsi="Arial" w:cs="Arial"/>
              </w:rPr>
            </w:pPr>
            <w:r w:rsidRPr="00A46E63">
              <w:rPr>
                <w:rFonts w:ascii="Arial" w:hAnsi="Arial" w:cs="Arial"/>
              </w:rPr>
              <w:t>Median gender pay gap</w:t>
            </w:r>
          </w:p>
        </w:tc>
        <w:tc>
          <w:tcPr>
            <w:tcW w:w="1559" w:type="dxa"/>
          </w:tcPr>
          <w:p w14:paraId="53723C4D" w14:textId="2A9E1A8D" w:rsidR="00AF4A37" w:rsidRDefault="004D0263" w:rsidP="003C611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-3.41%</w:t>
            </w:r>
          </w:p>
        </w:tc>
        <w:tc>
          <w:tcPr>
            <w:tcW w:w="1559" w:type="dxa"/>
          </w:tcPr>
          <w:p w14:paraId="5F74263F" w14:textId="2A1A711D" w:rsidR="00AF4A37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0.00%</w:t>
            </w:r>
          </w:p>
        </w:tc>
        <w:tc>
          <w:tcPr>
            <w:tcW w:w="1559" w:type="dxa"/>
          </w:tcPr>
          <w:p w14:paraId="67AC2D44" w14:textId="73AD6E7A" w:rsidR="00AF4A37" w:rsidRPr="00DD7174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DD7174">
              <w:rPr>
                <w:rFonts w:ascii="Arial" w:hAnsi="Arial" w:cs="Arial"/>
                <w:b/>
                <w:color w:val="808080" w:themeColor="background1" w:themeShade="80"/>
              </w:rPr>
              <w:t>0.00%</w:t>
            </w:r>
          </w:p>
        </w:tc>
        <w:tc>
          <w:tcPr>
            <w:tcW w:w="1559" w:type="dxa"/>
          </w:tcPr>
          <w:p w14:paraId="05828F99" w14:textId="4597B29E" w:rsidR="00AF4A37" w:rsidRPr="00F57CDD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F57CDD">
              <w:rPr>
                <w:rFonts w:ascii="Arial" w:hAnsi="Arial" w:cs="Arial"/>
                <w:b/>
                <w:color w:val="808080" w:themeColor="background1" w:themeShade="80"/>
              </w:rPr>
              <w:t>4.85%</w:t>
            </w:r>
          </w:p>
        </w:tc>
        <w:tc>
          <w:tcPr>
            <w:tcW w:w="1418" w:type="dxa"/>
          </w:tcPr>
          <w:p w14:paraId="347DA90B" w14:textId="3CA1F1A7" w:rsidR="00AF4A37" w:rsidRPr="00A46E63" w:rsidRDefault="00AF4A37" w:rsidP="003C611A">
            <w:pPr>
              <w:spacing w:before="40" w:after="20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A46E63">
              <w:rPr>
                <w:rFonts w:ascii="Arial" w:hAnsi="Arial" w:cs="Arial"/>
                <w:color w:val="808080" w:themeColor="background1" w:themeShade="80"/>
              </w:rPr>
              <w:t>5.</w:t>
            </w:r>
            <w:r>
              <w:rPr>
                <w:rFonts w:ascii="Arial" w:hAnsi="Arial" w:cs="Arial"/>
                <w:color w:val="808080" w:themeColor="background1" w:themeShade="80"/>
              </w:rPr>
              <w:t>85</w:t>
            </w:r>
            <w:r w:rsidRPr="00A46E63">
              <w:rPr>
                <w:rFonts w:ascii="Arial" w:hAnsi="Arial" w:cs="Arial"/>
                <w:color w:val="808080" w:themeColor="background1" w:themeShade="80"/>
              </w:rPr>
              <w:t>%</w:t>
            </w:r>
          </w:p>
        </w:tc>
      </w:tr>
      <w:tr w:rsidR="00AF4A37" w:rsidRPr="00A46E63" w14:paraId="6678E552" w14:textId="77777777" w:rsidTr="00AF4A37">
        <w:tc>
          <w:tcPr>
            <w:tcW w:w="2263" w:type="dxa"/>
          </w:tcPr>
          <w:p w14:paraId="35639146" w14:textId="77777777" w:rsidR="00AF4A37" w:rsidRPr="00A46E63" w:rsidRDefault="00AF4A37" w:rsidP="003C611A">
            <w:pPr>
              <w:spacing w:before="40" w:after="20"/>
              <w:rPr>
                <w:rFonts w:ascii="Arial" w:hAnsi="Arial" w:cs="Arial"/>
              </w:rPr>
            </w:pPr>
            <w:r w:rsidRPr="00A46E63">
              <w:rPr>
                <w:rFonts w:ascii="Arial" w:hAnsi="Arial" w:cs="Arial"/>
              </w:rPr>
              <w:t>Mean bonus gender pay gap</w:t>
            </w:r>
          </w:p>
        </w:tc>
        <w:tc>
          <w:tcPr>
            <w:tcW w:w="1559" w:type="dxa"/>
          </w:tcPr>
          <w:p w14:paraId="44572DF2" w14:textId="7E5ED0C3" w:rsidR="00AF4A37" w:rsidRPr="00DD7174" w:rsidRDefault="004D0263" w:rsidP="003C611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 w:rsidRPr="00DD7174">
              <w:rPr>
                <w:rFonts w:ascii="Arial" w:hAnsi="Arial" w:cs="Arial"/>
                <w:b/>
              </w:rPr>
              <w:t>Not applicable *</w:t>
            </w:r>
          </w:p>
        </w:tc>
        <w:tc>
          <w:tcPr>
            <w:tcW w:w="1559" w:type="dxa"/>
          </w:tcPr>
          <w:p w14:paraId="4D216D61" w14:textId="6DD2A029" w:rsidR="00AF4A37" w:rsidRPr="00520613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 w:rsidRPr="00DD7174">
              <w:rPr>
                <w:rFonts w:ascii="Arial" w:hAnsi="Arial" w:cs="Arial"/>
                <w:b/>
              </w:rPr>
              <w:t>Not applicable *</w:t>
            </w:r>
          </w:p>
        </w:tc>
        <w:tc>
          <w:tcPr>
            <w:tcW w:w="1559" w:type="dxa"/>
          </w:tcPr>
          <w:p w14:paraId="7550528F" w14:textId="05EC1655" w:rsidR="00AF4A37" w:rsidRPr="00DD7174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DD7174">
              <w:rPr>
                <w:rFonts w:ascii="Arial" w:hAnsi="Arial" w:cs="Arial"/>
                <w:b/>
                <w:color w:val="808080" w:themeColor="background1" w:themeShade="80"/>
              </w:rPr>
              <w:t>Not applicable *</w:t>
            </w:r>
          </w:p>
        </w:tc>
        <w:tc>
          <w:tcPr>
            <w:tcW w:w="1559" w:type="dxa"/>
          </w:tcPr>
          <w:p w14:paraId="2ABC40F3" w14:textId="535169AF" w:rsidR="00AF4A37" w:rsidRPr="00F57CDD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F57CDD">
              <w:rPr>
                <w:rFonts w:ascii="Arial" w:hAnsi="Arial" w:cs="Arial"/>
                <w:b/>
                <w:color w:val="808080" w:themeColor="background1" w:themeShade="80"/>
              </w:rPr>
              <w:t>Not applicable *</w:t>
            </w:r>
          </w:p>
        </w:tc>
        <w:tc>
          <w:tcPr>
            <w:tcW w:w="1418" w:type="dxa"/>
          </w:tcPr>
          <w:p w14:paraId="2B0FC807" w14:textId="7CCB9FBE" w:rsidR="00AF4A37" w:rsidRPr="00A46E63" w:rsidRDefault="00AF4A37" w:rsidP="003C611A">
            <w:pPr>
              <w:spacing w:before="40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A46E63">
              <w:rPr>
                <w:rFonts w:ascii="Arial" w:hAnsi="Arial" w:cs="Arial"/>
                <w:color w:val="808080" w:themeColor="background1" w:themeShade="80"/>
              </w:rPr>
              <w:t>Not applicable*</w:t>
            </w:r>
          </w:p>
        </w:tc>
      </w:tr>
      <w:tr w:rsidR="00AF4A37" w:rsidRPr="00A46E63" w14:paraId="5A711D2D" w14:textId="77777777" w:rsidTr="00AF4A37">
        <w:tc>
          <w:tcPr>
            <w:tcW w:w="2263" w:type="dxa"/>
          </w:tcPr>
          <w:p w14:paraId="470277C5" w14:textId="77777777" w:rsidR="00AF4A37" w:rsidRPr="00A46E63" w:rsidRDefault="00AF4A37" w:rsidP="003C611A">
            <w:pPr>
              <w:spacing w:before="40" w:after="20"/>
              <w:rPr>
                <w:rFonts w:ascii="Arial" w:hAnsi="Arial" w:cs="Arial"/>
              </w:rPr>
            </w:pPr>
            <w:r w:rsidRPr="00A46E63">
              <w:rPr>
                <w:rFonts w:ascii="Arial" w:hAnsi="Arial" w:cs="Arial"/>
              </w:rPr>
              <w:t>Median bonus gender pay gap</w:t>
            </w:r>
          </w:p>
        </w:tc>
        <w:tc>
          <w:tcPr>
            <w:tcW w:w="1559" w:type="dxa"/>
          </w:tcPr>
          <w:p w14:paraId="1675727F" w14:textId="167BC4C6" w:rsidR="00AF4A37" w:rsidRPr="00DD7174" w:rsidRDefault="004D0263" w:rsidP="003C611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DD7174">
              <w:rPr>
                <w:rFonts w:ascii="Arial" w:hAnsi="Arial" w:cs="Arial"/>
                <w:b/>
              </w:rPr>
              <w:t>Not applicable *</w:t>
            </w:r>
          </w:p>
        </w:tc>
        <w:tc>
          <w:tcPr>
            <w:tcW w:w="1559" w:type="dxa"/>
          </w:tcPr>
          <w:p w14:paraId="16DF00BF" w14:textId="5AE82237" w:rsidR="00AF4A37" w:rsidRPr="00520613" w:rsidRDefault="00AF4A37" w:rsidP="003C611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DD7174">
              <w:rPr>
                <w:rFonts w:ascii="Arial" w:hAnsi="Arial" w:cs="Arial"/>
                <w:b/>
              </w:rPr>
              <w:t>Not applicable *</w:t>
            </w:r>
          </w:p>
        </w:tc>
        <w:tc>
          <w:tcPr>
            <w:tcW w:w="1559" w:type="dxa"/>
          </w:tcPr>
          <w:p w14:paraId="2A8B7605" w14:textId="166E0C6A" w:rsidR="00AF4A37" w:rsidRPr="00DD7174" w:rsidRDefault="00AF4A37" w:rsidP="003C611A">
            <w:pPr>
              <w:spacing w:before="4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DD7174">
              <w:rPr>
                <w:rFonts w:ascii="Arial" w:hAnsi="Arial" w:cs="Arial"/>
                <w:b/>
                <w:color w:val="808080" w:themeColor="background1" w:themeShade="80"/>
              </w:rPr>
              <w:t>Not applicable *</w:t>
            </w:r>
          </w:p>
        </w:tc>
        <w:tc>
          <w:tcPr>
            <w:tcW w:w="1559" w:type="dxa"/>
          </w:tcPr>
          <w:p w14:paraId="10B67745" w14:textId="257C3F0C" w:rsidR="00AF4A37" w:rsidRPr="00F57CDD" w:rsidRDefault="00AF4A37" w:rsidP="003C611A">
            <w:pPr>
              <w:spacing w:before="4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F57CDD">
              <w:rPr>
                <w:rFonts w:ascii="Arial" w:hAnsi="Arial" w:cs="Arial"/>
                <w:b/>
                <w:color w:val="808080" w:themeColor="background1" w:themeShade="80"/>
              </w:rPr>
              <w:t>Not applicable *</w:t>
            </w:r>
          </w:p>
        </w:tc>
        <w:tc>
          <w:tcPr>
            <w:tcW w:w="1418" w:type="dxa"/>
          </w:tcPr>
          <w:p w14:paraId="28C62BE9" w14:textId="131466BF" w:rsidR="00AF4A37" w:rsidRPr="00A46E63" w:rsidRDefault="00AF4A37" w:rsidP="003C611A">
            <w:pPr>
              <w:spacing w:before="40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A46E63">
              <w:rPr>
                <w:rFonts w:ascii="Arial" w:hAnsi="Arial" w:cs="Arial"/>
                <w:color w:val="808080" w:themeColor="background1" w:themeShade="80"/>
              </w:rPr>
              <w:t>Not applicable*</w:t>
            </w:r>
          </w:p>
        </w:tc>
      </w:tr>
      <w:tr w:rsidR="00AF4A37" w:rsidRPr="00A46E63" w14:paraId="6D1EA3B7" w14:textId="77777777" w:rsidTr="00AF4A37">
        <w:tc>
          <w:tcPr>
            <w:tcW w:w="2263" w:type="dxa"/>
          </w:tcPr>
          <w:p w14:paraId="40792469" w14:textId="77777777" w:rsidR="00AF4A37" w:rsidRPr="00A46E63" w:rsidRDefault="00AF4A37" w:rsidP="003C611A">
            <w:pPr>
              <w:spacing w:before="40" w:after="20"/>
              <w:rPr>
                <w:rFonts w:ascii="Arial" w:hAnsi="Arial" w:cs="Arial"/>
              </w:rPr>
            </w:pPr>
            <w:r w:rsidRPr="00A46E63">
              <w:rPr>
                <w:rFonts w:ascii="Arial" w:hAnsi="Arial" w:cs="Arial"/>
              </w:rPr>
              <w:t>Proportion of male employees who received a bonus</w:t>
            </w:r>
          </w:p>
        </w:tc>
        <w:tc>
          <w:tcPr>
            <w:tcW w:w="1559" w:type="dxa"/>
          </w:tcPr>
          <w:p w14:paraId="45E94B77" w14:textId="2538A431" w:rsidR="00AF4A37" w:rsidRPr="00DD7174" w:rsidRDefault="004D0263" w:rsidP="003C611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 w:rsidRPr="00DD7174">
              <w:rPr>
                <w:rFonts w:ascii="Arial" w:hAnsi="Arial" w:cs="Arial"/>
                <w:b/>
              </w:rPr>
              <w:t>Not applicable *</w:t>
            </w:r>
          </w:p>
        </w:tc>
        <w:tc>
          <w:tcPr>
            <w:tcW w:w="1559" w:type="dxa"/>
          </w:tcPr>
          <w:p w14:paraId="36BB1432" w14:textId="4D295687" w:rsidR="00AF4A37" w:rsidRPr="00520613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 w:rsidRPr="00DD7174">
              <w:rPr>
                <w:rFonts w:ascii="Arial" w:hAnsi="Arial" w:cs="Arial"/>
                <w:b/>
              </w:rPr>
              <w:t>Not applicable *</w:t>
            </w:r>
          </w:p>
        </w:tc>
        <w:tc>
          <w:tcPr>
            <w:tcW w:w="1559" w:type="dxa"/>
          </w:tcPr>
          <w:p w14:paraId="575108E8" w14:textId="042C68BF" w:rsidR="00AF4A37" w:rsidRPr="00DD7174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DD7174">
              <w:rPr>
                <w:rFonts w:ascii="Arial" w:hAnsi="Arial" w:cs="Arial"/>
                <w:b/>
                <w:color w:val="808080" w:themeColor="background1" w:themeShade="80"/>
              </w:rPr>
              <w:t>Not applicable *</w:t>
            </w:r>
          </w:p>
        </w:tc>
        <w:tc>
          <w:tcPr>
            <w:tcW w:w="1559" w:type="dxa"/>
          </w:tcPr>
          <w:p w14:paraId="7CAA70B3" w14:textId="433B5C4F" w:rsidR="00AF4A37" w:rsidRPr="00F57CDD" w:rsidRDefault="00AF4A37" w:rsidP="003C611A">
            <w:pPr>
              <w:spacing w:before="40" w:after="2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F57CDD">
              <w:rPr>
                <w:rFonts w:ascii="Arial" w:hAnsi="Arial" w:cs="Arial"/>
                <w:b/>
                <w:color w:val="808080" w:themeColor="background1" w:themeShade="80"/>
              </w:rPr>
              <w:t>Not applicable *</w:t>
            </w:r>
          </w:p>
        </w:tc>
        <w:tc>
          <w:tcPr>
            <w:tcW w:w="1418" w:type="dxa"/>
          </w:tcPr>
          <w:p w14:paraId="773C10FC" w14:textId="430A494A" w:rsidR="00AF4A37" w:rsidRPr="00A46E63" w:rsidRDefault="00AF4A37" w:rsidP="003C611A">
            <w:pPr>
              <w:spacing w:before="40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A46E63">
              <w:rPr>
                <w:rFonts w:ascii="Arial" w:hAnsi="Arial" w:cs="Arial"/>
                <w:color w:val="808080" w:themeColor="background1" w:themeShade="80"/>
              </w:rPr>
              <w:t>Not applicable*</w:t>
            </w:r>
          </w:p>
        </w:tc>
      </w:tr>
      <w:tr w:rsidR="00AF4A37" w:rsidRPr="00A46E63" w14:paraId="1364CEB2" w14:textId="77777777" w:rsidTr="00AF4A37">
        <w:tc>
          <w:tcPr>
            <w:tcW w:w="2263" w:type="dxa"/>
          </w:tcPr>
          <w:p w14:paraId="4B7B8902" w14:textId="77777777" w:rsidR="00AF4A37" w:rsidRPr="00A46E63" w:rsidRDefault="00AF4A37" w:rsidP="003C611A">
            <w:pPr>
              <w:spacing w:before="40" w:after="20"/>
              <w:rPr>
                <w:rFonts w:ascii="Arial" w:hAnsi="Arial" w:cs="Arial"/>
              </w:rPr>
            </w:pPr>
            <w:r w:rsidRPr="00A46E63">
              <w:rPr>
                <w:rFonts w:ascii="Arial" w:hAnsi="Arial" w:cs="Arial"/>
              </w:rPr>
              <w:t>Proportion of female employees who received a bonus</w:t>
            </w:r>
          </w:p>
        </w:tc>
        <w:tc>
          <w:tcPr>
            <w:tcW w:w="1559" w:type="dxa"/>
          </w:tcPr>
          <w:p w14:paraId="01369DAE" w14:textId="08FFB17D" w:rsidR="00AF4A37" w:rsidRPr="00DD7174" w:rsidRDefault="004D0263" w:rsidP="003C611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DD7174">
              <w:rPr>
                <w:rFonts w:ascii="Arial" w:hAnsi="Arial" w:cs="Arial"/>
                <w:b/>
              </w:rPr>
              <w:t>Not applicable *</w:t>
            </w:r>
          </w:p>
        </w:tc>
        <w:tc>
          <w:tcPr>
            <w:tcW w:w="1559" w:type="dxa"/>
          </w:tcPr>
          <w:p w14:paraId="76F9FD1F" w14:textId="1E3F65F1" w:rsidR="00AF4A37" w:rsidRPr="00520613" w:rsidRDefault="00AF4A37" w:rsidP="003C611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DD7174">
              <w:rPr>
                <w:rFonts w:ascii="Arial" w:hAnsi="Arial" w:cs="Arial"/>
                <w:b/>
              </w:rPr>
              <w:t>Not applicable *</w:t>
            </w:r>
          </w:p>
        </w:tc>
        <w:tc>
          <w:tcPr>
            <w:tcW w:w="1559" w:type="dxa"/>
          </w:tcPr>
          <w:p w14:paraId="677B77DF" w14:textId="42028D78" w:rsidR="00AF4A37" w:rsidRPr="00DD7174" w:rsidRDefault="00AF4A37" w:rsidP="003C611A">
            <w:pPr>
              <w:spacing w:before="4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DD7174">
              <w:rPr>
                <w:rFonts w:ascii="Arial" w:hAnsi="Arial" w:cs="Arial"/>
                <w:b/>
                <w:color w:val="808080" w:themeColor="background1" w:themeShade="80"/>
              </w:rPr>
              <w:t>Not applicable *</w:t>
            </w:r>
          </w:p>
        </w:tc>
        <w:tc>
          <w:tcPr>
            <w:tcW w:w="1559" w:type="dxa"/>
          </w:tcPr>
          <w:p w14:paraId="262DD988" w14:textId="5ACF8DB0" w:rsidR="00AF4A37" w:rsidRPr="00F57CDD" w:rsidRDefault="00AF4A37" w:rsidP="003C611A">
            <w:pPr>
              <w:spacing w:before="40"/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F57CDD">
              <w:rPr>
                <w:rFonts w:ascii="Arial" w:hAnsi="Arial" w:cs="Arial"/>
                <w:b/>
                <w:color w:val="808080" w:themeColor="background1" w:themeShade="80"/>
              </w:rPr>
              <w:t>Not applicable *</w:t>
            </w:r>
          </w:p>
        </w:tc>
        <w:tc>
          <w:tcPr>
            <w:tcW w:w="1418" w:type="dxa"/>
          </w:tcPr>
          <w:p w14:paraId="6B7C5ECF" w14:textId="31B2748B" w:rsidR="00AF4A37" w:rsidRPr="00A46E63" w:rsidRDefault="00AF4A37" w:rsidP="003C611A">
            <w:pPr>
              <w:spacing w:before="40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A46E63">
              <w:rPr>
                <w:rFonts w:ascii="Arial" w:hAnsi="Arial" w:cs="Arial"/>
                <w:color w:val="808080" w:themeColor="background1" w:themeShade="80"/>
              </w:rPr>
              <w:t>Not applicable*</w:t>
            </w:r>
          </w:p>
        </w:tc>
      </w:tr>
      <w:bookmarkEnd w:id="0"/>
    </w:tbl>
    <w:p w14:paraId="1D5A4042" w14:textId="77777777" w:rsidR="00C34D6F" w:rsidRPr="003C611A" w:rsidRDefault="00C34D6F" w:rsidP="00C34D6F">
      <w:pPr>
        <w:spacing w:after="0"/>
        <w:rPr>
          <w:rFonts w:ascii="Arial" w:hAnsi="Arial" w:cs="Arial"/>
          <w:sz w:val="8"/>
          <w:szCs w:val="8"/>
        </w:rPr>
      </w:pPr>
    </w:p>
    <w:p w14:paraId="2A5FF1A9" w14:textId="75921EC4" w:rsidR="00FA4A39" w:rsidRPr="003C611A" w:rsidRDefault="00D94D5A" w:rsidP="003C611A">
      <w:pPr>
        <w:spacing w:after="40"/>
        <w:rPr>
          <w:rFonts w:ascii="Arial" w:hAnsi="Arial" w:cs="Arial"/>
          <w:sz w:val="21"/>
          <w:szCs w:val="21"/>
        </w:rPr>
      </w:pPr>
      <w:r w:rsidRPr="003C611A">
        <w:rPr>
          <w:rFonts w:ascii="Arial" w:hAnsi="Arial" w:cs="Arial"/>
          <w:sz w:val="21"/>
          <w:szCs w:val="21"/>
        </w:rPr>
        <w:t>*</w:t>
      </w:r>
      <w:r w:rsidR="00520613" w:rsidRPr="003C611A">
        <w:rPr>
          <w:rFonts w:ascii="Arial" w:hAnsi="Arial" w:cs="Arial"/>
          <w:sz w:val="21"/>
          <w:szCs w:val="21"/>
        </w:rPr>
        <w:t xml:space="preserve"> </w:t>
      </w:r>
      <w:r w:rsidR="00520613" w:rsidRPr="003C611A">
        <w:rPr>
          <w:rFonts w:ascii="Arial" w:hAnsi="Arial" w:cs="Arial"/>
          <w:sz w:val="21"/>
          <w:szCs w:val="21"/>
        </w:rPr>
        <w:tab/>
        <w:t xml:space="preserve"> </w:t>
      </w:r>
      <w:r w:rsidRPr="003C611A">
        <w:rPr>
          <w:rFonts w:ascii="Arial" w:hAnsi="Arial" w:cs="Arial"/>
          <w:sz w:val="21"/>
          <w:szCs w:val="21"/>
        </w:rPr>
        <w:t>Framework does not award bonuses</w:t>
      </w:r>
    </w:p>
    <w:p w14:paraId="56E93731" w14:textId="47FD4137" w:rsidR="008C0F5D" w:rsidRPr="003C611A" w:rsidRDefault="008C0F5D" w:rsidP="003C611A">
      <w:pPr>
        <w:spacing w:after="160"/>
        <w:rPr>
          <w:rFonts w:ascii="Arial" w:hAnsi="Arial" w:cs="Arial"/>
          <w:sz w:val="21"/>
          <w:szCs w:val="21"/>
        </w:rPr>
      </w:pPr>
      <w:r w:rsidRPr="003C611A">
        <w:rPr>
          <w:rFonts w:ascii="Arial" w:hAnsi="Arial" w:cs="Arial"/>
          <w:sz w:val="21"/>
          <w:szCs w:val="21"/>
        </w:rPr>
        <w:t>**</w:t>
      </w:r>
      <w:r w:rsidR="00520613" w:rsidRPr="003C611A">
        <w:rPr>
          <w:rFonts w:ascii="Arial" w:hAnsi="Arial" w:cs="Arial"/>
          <w:sz w:val="21"/>
          <w:szCs w:val="21"/>
        </w:rPr>
        <w:t xml:space="preserve"> </w:t>
      </w:r>
      <w:r w:rsidRPr="003C611A">
        <w:rPr>
          <w:rFonts w:ascii="Arial" w:hAnsi="Arial" w:cs="Arial"/>
          <w:sz w:val="21"/>
          <w:szCs w:val="21"/>
        </w:rPr>
        <w:t>Incorrect data was previously reported in error</w:t>
      </w:r>
      <w:r w:rsidR="003C611A" w:rsidRPr="003C611A">
        <w:rPr>
          <w:rFonts w:ascii="Arial" w:hAnsi="Arial" w:cs="Arial"/>
          <w:sz w:val="21"/>
          <w:szCs w:val="21"/>
        </w:rPr>
        <w:t>, for April 2021</w:t>
      </w:r>
    </w:p>
    <w:p w14:paraId="3DC6A99A" w14:textId="642BBE12" w:rsidR="001A094E" w:rsidRDefault="001A094E" w:rsidP="00A46E63">
      <w:pPr>
        <w:spacing w:after="0"/>
        <w:rPr>
          <w:rFonts w:ascii="Arial" w:hAnsi="Arial" w:cs="Arial"/>
          <w:b/>
        </w:rPr>
      </w:pPr>
      <w:r w:rsidRPr="00A46E63">
        <w:rPr>
          <w:rFonts w:ascii="Arial" w:hAnsi="Arial" w:cs="Arial"/>
          <w:b/>
        </w:rPr>
        <w:t xml:space="preserve">Pay </w:t>
      </w:r>
      <w:r w:rsidR="00E62CF2" w:rsidRPr="00A46E63">
        <w:rPr>
          <w:rFonts w:ascii="Arial" w:hAnsi="Arial" w:cs="Arial"/>
          <w:b/>
        </w:rPr>
        <w:t>Q</w:t>
      </w:r>
      <w:r w:rsidRPr="00A46E63">
        <w:rPr>
          <w:rFonts w:ascii="Arial" w:hAnsi="Arial" w:cs="Arial"/>
          <w:b/>
        </w:rPr>
        <w:t xml:space="preserve">uartiles by </w:t>
      </w:r>
      <w:r w:rsidR="00E62CF2" w:rsidRPr="00A46E63">
        <w:rPr>
          <w:rFonts w:ascii="Arial" w:hAnsi="Arial" w:cs="Arial"/>
          <w:b/>
        </w:rPr>
        <w:t>G</w:t>
      </w:r>
      <w:r w:rsidRPr="00A46E63">
        <w:rPr>
          <w:rFonts w:ascii="Arial" w:hAnsi="Arial" w:cs="Arial"/>
          <w:b/>
        </w:rPr>
        <w:t>ender</w:t>
      </w:r>
    </w:p>
    <w:p w14:paraId="7D279BE4" w14:textId="77777777" w:rsidR="00A46E63" w:rsidRPr="003C611A" w:rsidRDefault="00A46E63" w:rsidP="00A46E63">
      <w:pPr>
        <w:spacing w:after="0"/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8633" w:type="dxa"/>
        <w:tblLook w:val="04A0" w:firstRow="1" w:lastRow="0" w:firstColumn="1" w:lastColumn="0" w:noHBand="0" w:noVBand="1"/>
      </w:tblPr>
      <w:tblGrid>
        <w:gridCol w:w="2405"/>
        <w:gridCol w:w="1484"/>
        <w:gridCol w:w="1484"/>
        <w:gridCol w:w="1484"/>
        <w:gridCol w:w="1776"/>
      </w:tblGrid>
      <w:tr w:rsidR="00095D69" w:rsidRPr="00A46E63" w14:paraId="4A85B9C4" w14:textId="77777777" w:rsidTr="00095D69">
        <w:tc>
          <w:tcPr>
            <w:tcW w:w="2405" w:type="dxa"/>
          </w:tcPr>
          <w:p w14:paraId="09653E2F" w14:textId="005C30B2" w:rsidR="00095D69" w:rsidRPr="00A46E63" w:rsidRDefault="00095D69" w:rsidP="00520613">
            <w:pPr>
              <w:spacing w:before="60" w:after="40"/>
              <w:rPr>
                <w:rFonts w:ascii="Arial" w:hAnsi="Arial" w:cs="Arial"/>
                <w:b/>
              </w:rPr>
            </w:pPr>
            <w:r w:rsidRPr="00A46E63">
              <w:rPr>
                <w:rFonts w:ascii="Arial" w:hAnsi="Arial" w:cs="Arial"/>
                <w:b/>
              </w:rPr>
              <w:t xml:space="preserve">Band </w:t>
            </w:r>
            <w:r>
              <w:rPr>
                <w:rFonts w:ascii="Arial" w:hAnsi="Arial" w:cs="Arial"/>
                <w:b/>
              </w:rPr>
              <w:t>***</w:t>
            </w:r>
          </w:p>
        </w:tc>
        <w:tc>
          <w:tcPr>
            <w:tcW w:w="1484" w:type="dxa"/>
          </w:tcPr>
          <w:p w14:paraId="1E82C386" w14:textId="33749F2B" w:rsidR="00095D69" w:rsidRDefault="00095D69" w:rsidP="00520613">
            <w:pPr>
              <w:spacing w:before="6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 2025</w:t>
            </w:r>
          </w:p>
        </w:tc>
        <w:tc>
          <w:tcPr>
            <w:tcW w:w="1484" w:type="dxa"/>
          </w:tcPr>
          <w:p w14:paraId="1993A7DA" w14:textId="4E19CA06" w:rsidR="00095D69" w:rsidRDefault="00095D69" w:rsidP="00520613">
            <w:pPr>
              <w:spacing w:before="6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Females 2025</w:t>
            </w:r>
          </w:p>
        </w:tc>
        <w:tc>
          <w:tcPr>
            <w:tcW w:w="1484" w:type="dxa"/>
          </w:tcPr>
          <w:p w14:paraId="75E8E929" w14:textId="4E5E9B90" w:rsidR="00095D69" w:rsidRPr="00A46E63" w:rsidRDefault="00095D69" w:rsidP="00520613">
            <w:pPr>
              <w:spacing w:before="6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 2024</w:t>
            </w:r>
          </w:p>
        </w:tc>
        <w:tc>
          <w:tcPr>
            <w:tcW w:w="1776" w:type="dxa"/>
          </w:tcPr>
          <w:p w14:paraId="0345BFB0" w14:textId="041718CA" w:rsidR="00095D69" w:rsidRPr="00A46E63" w:rsidRDefault="00095D69" w:rsidP="00520613">
            <w:pPr>
              <w:spacing w:before="6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Females 2024</w:t>
            </w:r>
          </w:p>
        </w:tc>
      </w:tr>
      <w:tr w:rsidR="00095D69" w:rsidRPr="00A46E63" w14:paraId="57753D0A" w14:textId="77777777" w:rsidTr="00095D69">
        <w:tc>
          <w:tcPr>
            <w:tcW w:w="2405" w:type="dxa"/>
          </w:tcPr>
          <w:p w14:paraId="07346953" w14:textId="4630D2F8" w:rsidR="00095D69" w:rsidRPr="00A46E63" w:rsidRDefault="00095D69" w:rsidP="00520613">
            <w:pPr>
              <w:spacing w:before="60" w:after="40"/>
              <w:rPr>
                <w:rFonts w:ascii="Arial" w:hAnsi="Arial" w:cs="Arial"/>
              </w:rPr>
            </w:pPr>
            <w:r w:rsidRPr="00A46E63">
              <w:rPr>
                <w:rFonts w:ascii="Arial" w:hAnsi="Arial" w:cs="Arial"/>
              </w:rPr>
              <w:t>Lower Quartile</w:t>
            </w:r>
          </w:p>
        </w:tc>
        <w:tc>
          <w:tcPr>
            <w:tcW w:w="1484" w:type="dxa"/>
          </w:tcPr>
          <w:p w14:paraId="20C3ED29" w14:textId="1D8F8B59" w:rsidR="00095D69" w:rsidRDefault="00095D69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36.54%</w:t>
            </w:r>
          </w:p>
        </w:tc>
        <w:tc>
          <w:tcPr>
            <w:tcW w:w="1484" w:type="dxa"/>
          </w:tcPr>
          <w:p w14:paraId="176DFE30" w14:textId="7F122960" w:rsidR="00095D69" w:rsidRDefault="00F150ED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63.46%</w:t>
            </w:r>
          </w:p>
        </w:tc>
        <w:tc>
          <w:tcPr>
            <w:tcW w:w="1484" w:type="dxa"/>
          </w:tcPr>
          <w:p w14:paraId="534030B4" w14:textId="36F2EEE7" w:rsidR="00095D69" w:rsidRPr="00A46E63" w:rsidRDefault="00095D69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25.85%</w:t>
            </w:r>
          </w:p>
        </w:tc>
        <w:tc>
          <w:tcPr>
            <w:tcW w:w="1776" w:type="dxa"/>
          </w:tcPr>
          <w:p w14:paraId="609940E8" w14:textId="23646AED" w:rsidR="00095D69" w:rsidRPr="00A46E63" w:rsidRDefault="00095D69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74.15%</w:t>
            </w:r>
          </w:p>
        </w:tc>
      </w:tr>
      <w:tr w:rsidR="00095D69" w:rsidRPr="00A46E63" w14:paraId="6772FA2D" w14:textId="77777777" w:rsidTr="00095D69">
        <w:tc>
          <w:tcPr>
            <w:tcW w:w="2405" w:type="dxa"/>
          </w:tcPr>
          <w:p w14:paraId="47B39DE5" w14:textId="77777777" w:rsidR="00095D69" w:rsidRPr="00A46E63" w:rsidRDefault="00095D69" w:rsidP="00520613">
            <w:pPr>
              <w:spacing w:before="60" w:after="40"/>
              <w:rPr>
                <w:rFonts w:ascii="Arial" w:hAnsi="Arial" w:cs="Arial"/>
              </w:rPr>
            </w:pPr>
            <w:r w:rsidRPr="00A46E63">
              <w:rPr>
                <w:rFonts w:ascii="Arial" w:hAnsi="Arial" w:cs="Arial"/>
              </w:rPr>
              <w:t>Lower Middle Quartile</w:t>
            </w:r>
          </w:p>
        </w:tc>
        <w:tc>
          <w:tcPr>
            <w:tcW w:w="1484" w:type="dxa"/>
          </w:tcPr>
          <w:p w14:paraId="2E03725C" w14:textId="0B415BB8" w:rsidR="00095D69" w:rsidRDefault="00F150ED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37.20%</w:t>
            </w:r>
          </w:p>
        </w:tc>
        <w:tc>
          <w:tcPr>
            <w:tcW w:w="1484" w:type="dxa"/>
          </w:tcPr>
          <w:p w14:paraId="5546ED57" w14:textId="16B40A6D" w:rsidR="00095D69" w:rsidRDefault="00F150ED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62.80%</w:t>
            </w:r>
          </w:p>
        </w:tc>
        <w:tc>
          <w:tcPr>
            <w:tcW w:w="1484" w:type="dxa"/>
          </w:tcPr>
          <w:p w14:paraId="4A4B1296" w14:textId="492BBD21" w:rsidR="00095D69" w:rsidRPr="00A46E63" w:rsidRDefault="00095D69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39.71%</w:t>
            </w:r>
          </w:p>
        </w:tc>
        <w:tc>
          <w:tcPr>
            <w:tcW w:w="1776" w:type="dxa"/>
          </w:tcPr>
          <w:p w14:paraId="3D14ED9E" w14:textId="211729A8" w:rsidR="00095D69" w:rsidRPr="00A46E63" w:rsidRDefault="00095D69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60.29%</w:t>
            </w:r>
          </w:p>
        </w:tc>
      </w:tr>
      <w:tr w:rsidR="00095D69" w:rsidRPr="00A46E63" w14:paraId="0ED67244" w14:textId="77777777" w:rsidTr="00095D69">
        <w:tc>
          <w:tcPr>
            <w:tcW w:w="2405" w:type="dxa"/>
          </w:tcPr>
          <w:p w14:paraId="40F46B89" w14:textId="77777777" w:rsidR="00095D69" w:rsidRPr="00A46E63" w:rsidRDefault="00095D69" w:rsidP="00520613">
            <w:pPr>
              <w:spacing w:before="60" w:after="40"/>
              <w:rPr>
                <w:rFonts w:ascii="Arial" w:hAnsi="Arial" w:cs="Arial"/>
              </w:rPr>
            </w:pPr>
            <w:r w:rsidRPr="00A46E63">
              <w:rPr>
                <w:rFonts w:ascii="Arial" w:hAnsi="Arial" w:cs="Arial"/>
              </w:rPr>
              <w:t>Upper Middle Quartile</w:t>
            </w:r>
          </w:p>
        </w:tc>
        <w:tc>
          <w:tcPr>
            <w:tcW w:w="1484" w:type="dxa"/>
          </w:tcPr>
          <w:p w14:paraId="5FE5B45A" w14:textId="79675FA3" w:rsidR="00095D69" w:rsidRDefault="00FC2607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29.33%</w:t>
            </w:r>
          </w:p>
        </w:tc>
        <w:tc>
          <w:tcPr>
            <w:tcW w:w="1484" w:type="dxa"/>
          </w:tcPr>
          <w:p w14:paraId="0A44D9A2" w14:textId="4DA3EAF2" w:rsidR="00095D69" w:rsidRDefault="00FC2607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70.67%</w:t>
            </w:r>
          </w:p>
        </w:tc>
        <w:tc>
          <w:tcPr>
            <w:tcW w:w="1484" w:type="dxa"/>
          </w:tcPr>
          <w:p w14:paraId="1DE3404F" w14:textId="18285F88" w:rsidR="00095D69" w:rsidRPr="00A46E63" w:rsidRDefault="00095D69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28.92%</w:t>
            </w:r>
          </w:p>
        </w:tc>
        <w:tc>
          <w:tcPr>
            <w:tcW w:w="1776" w:type="dxa"/>
          </w:tcPr>
          <w:p w14:paraId="3226E4A0" w14:textId="13DB8EFE" w:rsidR="00095D69" w:rsidRPr="00A46E63" w:rsidRDefault="00095D69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71.08%</w:t>
            </w:r>
          </w:p>
        </w:tc>
      </w:tr>
      <w:tr w:rsidR="00095D69" w:rsidRPr="00A46E63" w14:paraId="307CB354" w14:textId="77777777" w:rsidTr="00095D69">
        <w:tc>
          <w:tcPr>
            <w:tcW w:w="2405" w:type="dxa"/>
          </w:tcPr>
          <w:p w14:paraId="53EA5466" w14:textId="77777777" w:rsidR="00095D69" w:rsidRPr="00A46E63" w:rsidRDefault="00095D69" w:rsidP="00520613">
            <w:pPr>
              <w:spacing w:before="60" w:after="40"/>
              <w:rPr>
                <w:rFonts w:ascii="Arial" w:hAnsi="Arial" w:cs="Arial"/>
              </w:rPr>
            </w:pPr>
            <w:r w:rsidRPr="00A46E63">
              <w:rPr>
                <w:rFonts w:ascii="Arial" w:hAnsi="Arial" w:cs="Arial"/>
              </w:rPr>
              <w:t>Upper Quartile</w:t>
            </w:r>
          </w:p>
        </w:tc>
        <w:tc>
          <w:tcPr>
            <w:tcW w:w="1484" w:type="dxa"/>
          </w:tcPr>
          <w:p w14:paraId="55DAD9AD" w14:textId="3AEBF138" w:rsidR="00095D69" w:rsidRDefault="00FB27A7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31.88%</w:t>
            </w:r>
          </w:p>
        </w:tc>
        <w:tc>
          <w:tcPr>
            <w:tcW w:w="1484" w:type="dxa"/>
          </w:tcPr>
          <w:p w14:paraId="47DDB802" w14:textId="750B29E7" w:rsidR="00095D69" w:rsidRDefault="00FB27A7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68.12%</w:t>
            </w:r>
          </w:p>
        </w:tc>
        <w:tc>
          <w:tcPr>
            <w:tcW w:w="1484" w:type="dxa"/>
          </w:tcPr>
          <w:p w14:paraId="2137869D" w14:textId="3EE0EC6D" w:rsidR="00095D69" w:rsidRPr="00A46E63" w:rsidRDefault="00095D69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39.71%</w:t>
            </w:r>
          </w:p>
        </w:tc>
        <w:tc>
          <w:tcPr>
            <w:tcW w:w="1776" w:type="dxa"/>
          </w:tcPr>
          <w:p w14:paraId="6A33EE0E" w14:textId="09DCC6FF" w:rsidR="00095D69" w:rsidRPr="00A46E63" w:rsidRDefault="00095D69" w:rsidP="00520613">
            <w:pPr>
              <w:spacing w:before="6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60.20%</w:t>
            </w:r>
          </w:p>
        </w:tc>
      </w:tr>
    </w:tbl>
    <w:p w14:paraId="3AF877E1" w14:textId="6EFFAA50" w:rsidR="00707396" w:rsidRPr="00520613" w:rsidRDefault="00707396" w:rsidP="00707396">
      <w:pPr>
        <w:spacing w:after="0"/>
        <w:rPr>
          <w:rFonts w:ascii="Arial" w:hAnsi="Arial" w:cs="Arial"/>
          <w:b/>
          <w:sz w:val="12"/>
          <w:szCs w:val="12"/>
        </w:rPr>
      </w:pPr>
    </w:p>
    <w:p w14:paraId="6135B872" w14:textId="4B0C2BF0" w:rsidR="00520613" w:rsidRPr="003C611A" w:rsidRDefault="00520613" w:rsidP="003C611A">
      <w:pPr>
        <w:spacing w:after="0"/>
        <w:ind w:right="-597"/>
        <w:rPr>
          <w:rFonts w:ascii="Arial" w:hAnsi="Arial" w:cs="Arial"/>
          <w:b/>
          <w:sz w:val="21"/>
          <w:szCs w:val="21"/>
        </w:rPr>
      </w:pPr>
      <w:r w:rsidRPr="003C611A">
        <w:rPr>
          <w:rFonts w:ascii="Arial" w:hAnsi="Arial" w:cs="Arial"/>
          <w:b/>
          <w:sz w:val="21"/>
          <w:szCs w:val="21"/>
        </w:rPr>
        <w:t xml:space="preserve">(*** Proportion of </w:t>
      </w:r>
      <w:r w:rsidR="003C611A">
        <w:rPr>
          <w:rFonts w:ascii="Arial" w:hAnsi="Arial" w:cs="Arial"/>
          <w:b/>
          <w:sz w:val="21"/>
          <w:szCs w:val="21"/>
        </w:rPr>
        <w:t xml:space="preserve">Salaries for </w:t>
      </w:r>
      <w:r w:rsidRPr="003C611A">
        <w:rPr>
          <w:rFonts w:ascii="Arial" w:hAnsi="Arial" w:cs="Arial"/>
          <w:b/>
          <w:sz w:val="21"/>
          <w:szCs w:val="21"/>
        </w:rPr>
        <w:t xml:space="preserve">Males and Females </w:t>
      </w:r>
      <w:r w:rsidR="003C611A">
        <w:rPr>
          <w:rFonts w:ascii="Arial" w:hAnsi="Arial" w:cs="Arial"/>
          <w:b/>
          <w:sz w:val="21"/>
          <w:szCs w:val="21"/>
        </w:rPr>
        <w:t xml:space="preserve">appearing </w:t>
      </w:r>
      <w:r w:rsidRPr="003C611A">
        <w:rPr>
          <w:rFonts w:ascii="Arial" w:hAnsi="Arial" w:cs="Arial"/>
          <w:b/>
          <w:sz w:val="21"/>
          <w:szCs w:val="21"/>
        </w:rPr>
        <w:t>in each quartile of the</w:t>
      </w:r>
      <w:r w:rsidR="003C611A">
        <w:rPr>
          <w:rFonts w:ascii="Arial" w:hAnsi="Arial" w:cs="Arial"/>
          <w:b/>
          <w:sz w:val="21"/>
          <w:szCs w:val="21"/>
        </w:rPr>
        <w:t xml:space="preserve"> pay </w:t>
      </w:r>
      <w:r w:rsidRPr="003C611A">
        <w:rPr>
          <w:rFonts w:ascii="Arial" w:hAnsi="Arial" w:cs="Arial"/>
          <w:b/>
          <w:sz w:val="21"/>
          <w:szCs w:val="21"/>
        </w:rPr>
        <w:t>structure)</w:t>
      </w:r>
    </w:p>
    <w:p w14:paraId="2C7D42A3" w14:textId="33A2E0A9" w:rsidR="00520613" w:rsidRDefault="00520613" w:rsidP="00707396">
      <w:pPr>
        <w:spacing w:after="0"/>
        <w:rPr>
          <w:rFonts w:ascii="Arial" w:hAnsi="Arial" w:cs="Arial"/>
          <w:b/>
        </w:rPr>
      </w:pPr>
    </w:p>
    <w:p w14:paraId="0A919149" w14:textId="77777777" w:rsidR="00145A31" w:rsidRDefault="00145A31" w:rsidP="00707396">
      <w:pPr>
        <w:spacing w:after="0"/>
        <w:rPr>
          <w:rFonts w:ascii="Arial" w:hAnsi="Arial" w:cs="Arial"/>
          <w:b/>
        </w:rPr>
      </w:pPr>
    </w:p>
    <w:p w14:paraId="15AB07E3" w14:textId="77777777" w:rsidR="00A8187A" w:rsidRPr="00A46E63" w:rsidRDefault="00A8187A" w:rsidP="00707396">
      <w:pPr>
        <w:spacing w:after="0"/>
        <w:rPr>
          <w:rFonts w:ascii="Arial" w:hAnsi="Arial" w:cs="Arial"/>
          <w:b/>
        </w:rPr>
      </w:pPr>
    </w:p>
    <w:p w14:paraId="691BCED3" w14:textId="3C33965F" w:rsidR="001A094E" w:rsidRPr="00A46E63" w:rsidRDefault="008E3A82" w:rsidP="00A46E63">
      <w:pPr>
        <w:spacing w:after="0"/>
        <w:rPr>
          <w:rFonts w:ascii="Arial" w:hAnsi="Arial" w:cs="Arial"/>
          <w:b/>
        </w:rPr>
      </w:pPr>
      <w:r w:rsidRPr="00A46E63">
        <w:rPr>
          <w:rFonts w:ascii="Arial" w:hAnsi="Arial" w:cs="Arial"/>
          <w:b/>
        </w:rPr>
        <w:t xml:space="preserve">Summary from the Senior </w:t>
      </w:r>
      <w:r w:rsidR="00B0280A" w:rsidRPr="00A46E63">
        <w:rPr>
          <w:rFonts w:ascii="Arial" w:hAnsi="Arial" w:cs="Arial"/>
          <w:b/>
        </w:rPr>
        <w:t>Leadership</w:t>
      </w:r>
      <w:r w:rsidRPr="00A46E63">
        <w:rPr>
          <w:rFonts w:ascii="Arial" w:hAnsi="Arial" w:cs="Arial"/>
          <w:b/>
        </w:rPr>
        <w:t xml:space="preserve"> </w:t>
      </w:r>
      <w:r w:rsidR="007964BC" w:rsidRPr="00A46E63">
        <w:rPr>
          <w:rFonts w:ascii="Arial" w:hAnsi="Arial" w:cs="Arial"/>
          <w:b/>
        </w:rPr>
        <w:t>T</w:t>
      </w:r>
      <w:r w:rsidRPr="00A46E63">
        <w:rPr>
          <w:rFonts w:ascii="Arial" w:hAnsi="Arial" w:cs="Arial"/>
          <w:b/>
        </w:rPr>
        <w:t>eam at Framework</w:t>
      </w:r>
    </w:p>
    <w:p w14:paraId="0467C855" w14:textId="77777777" w:rsidR="00C419DA" w:rsidRPr="00566675" w:rsidRDefault="00C419DA" w:rsidP="00A46E63">
      <w:pPr>
        <w:spacing w:after="0"/>
        <w:jc w:val="both"/>
        <w:rPr>
          <w:rFonts w:ascii="Arial" w:hAnsi="Arial" w:cs="Arial"/>
          <w:b/>
          <w:sz w:val="8"/>
          <w:szCs w:val="8"/>
        </w:rPr>
      </w:pPr>
    </w:p>
    <w:p w14:paraId="723BB0AC" w14:textId="2D6D8D39" w:rsidR="005918A3" w:rsidRDefault="003F582E" w:rsidP="00A46E63">
      <w:pPr>
        <w:spacing w:after="0"/>
        <w:jc w:val="both"/>
        <w:rPr>
          <w:rFonts w:ascii="Arial" w:hAnsi="Arial" w:cs="Arial"/>
        </w:rPr>
      </w:pPr>
      <w:r w:rsidRPr="00A46E63">
        <w:rPr>
          <w:rFonts w:ascii="Arial" w:hAnsi="Arial" w:cs="Arial"/>
        </w:rPr>
        <w:lastRenderedPageBreak/>
        <w:t xml:space="preserve">The </w:t>
      </w:r>
      <w:r w:rsidRPr="00A46E63">
        <w:rPr>
          <w:rFonts w:ascii="Arial" w:hAnsi="Arial" w:cs="Arial"/>
          <w:b/>
        </w:rPr>
        <w:t>mean</w:t>
      </w:r>
      <w:r w:rsidRPr="00A46E63">
        <w:rPr>
          <w:rFonts w:ascii="Arial" w:hAnsi="Arial" w:cs="Arial"/>
        </w:rPr>
        <w:t xml:space="preserve"> gender pay gap for Framework </w:t>
      </w:r>
      <w:r w:rsidR="005918A3">
        <w:rPr>
          <w:rFonts w:ascii="Arial" w:hAnsi="Arial" w:cs="Arial"/>
        </w:rPr>
        <w:t>in 202</w:t>
      </w:r>
      <w:r w:rsidR="00FB27A7">
        <w:rPr>
          <w:rFonts w:ascii="Arial" w:hAnsi="Arial" w:cs="Arial"/>
        </w:rPr>
        <w:t>5</w:t>
      </w:r>
      <w:r w:rsidR="005918A3">
        <w:rPr>
          <w:rFonts w:ascii="Arial" w:hAnsi="Arial" w:cs="Arial"/>
        </w:rPr>
        <w:t xml:space="preserve"> </w:t>
      </w:r>
      <w:r w:rsidRPr="00A46E63">
        <w:rPr>
          <w:rFonts w:ascii="Arial" w:hAnsi="Arial" w:cs="Arial"/>
        </w:rPr>
        <w:t xml:space="preserve">is </w:t>
      </w:r>
      <w:r w:rsidR="00FB27A7">
        <w:rPr>
          <w:rFonts w:ascii="Arial" w:hAnsi="Arial" w:cs="Arial"/>
        </w:rPr>
        <w:t>0</w:t>
      </w:r>
      <w:r w:rsidRPr="00A46E63">
        <w:rPr>
          <w:rFonts w:ascii="Arial" w:hAnsi="Arial" w:cs="Arial"/>
        </w:rPr>
        <w:t>.</w:t>
      </w:r>
      <w:r w:rsidR="00AD2DDF">
        <w:rPr>
          <w:rFonts w:ascii="Arial" w:hAnsi="Arial" w:cs="Arial"/>
        </w:rPr>
        <w:t>3</w:t>
      </w:r>
      <w:r w:rsidR="00F57CDD">
        <w:rPr>
          <w:rFonts w:ascii="Arial" w:hAnsi="Arial" w:cs="Arial"/>
        </w:rPr>
        <w:t>2</w:t>
      </w:r>
      <w:r w:rsidRPr="00A46E63">
        <w:rPr>
          <w:rFonts w:ascii="Arial" w:hAnsi="Arial" w:cs="Arial"/>
        </w:rPr>
        <w:t>%</w:t>
      </w:r>
      <w:r w:rsidR="00F57CDD">
        <w:rPr>
          <w:rFonts w:ascii="Arial" w:hAnsi="Arial" w:cs="Arial"/>
        </w:rPr>
        <w:t xml:space="preserve"> which is a reduction of </w:t>
      </w:r>
      <w:r w:rsidR="00FB27A7">
        <w:rPr>
          <w:rFonts w:ascii="Arial" w:hAnsi="Arial" w:cs="Arial"/>
        </w:rPr>
        <w:t>5</w:t>
      </w:r>
      <w:r w:rsidR="00F57CDD">
        <w:rPr>
          <w:rFonts w:ascii="Arial" w:hAnsi="Arial" w:cs="Arial"/>
        </w:rPr>
        <w:t>%</w:t>
      </w:r>
      <w:r w:rsidR="00B1770E">
        <w:rPr>
          <w:rFonts w:ascii="Arial" w:hAnsi="Arial" w:cs="Arial"/>
        </w:rPr>
        <w:t xml:space="preserve"> from last year</w:t>
      </w:r>
      <w:r w:rsidR="005918A3">
        <w:rPr>
          <w:rFonts w:ascii="Arial" w:hAnsi="Arial" w:cs="Arial"/>
        </w:rPr>
        <w:t>.</w:t>
      </w:r>
      <w:r w:rsidR="00F57CDD">
        <w:rPr>
          <w:rFonts w:ascii="Arial" w:hAnsi="Arial" w:cs="Arial"/>
        </w:rPr>
        <w:t xml:space="preserve"> This </w:t>
      </w:r>
      <w:r w:rsidR="00AD2DDF">
        <w:rPr>
          <w:rFonts w:ascii="Arial" w:hAnsi="Arial" w:cs="Arial"/>
        </w:rPr>
        <w:t xml:space="preserve">follows of a reduction of a </w:t>
      </w:r>
      <w:r w:rsidR="00AF01AE">
        <w:rPr>
          <w:rFonts w:ascii="Arial" w:hAnsi="Arial" w:cs="Arial"/>
        </w:rPr>
        <w:t>about 1%</w:t>
      </w:r>
      <w:r w:rsidR="00AD2DDF">
        <w:rPr>
          <w:rFonts w:ascii="Arial" w:hAnsi="Arial" w:cs="Arial"/>
        </w:rPr>
        <w:t xml:space="preserve"> </w:t>
      </w:r>
      <w:r w:rsidR="00AF01AE">
        <w:rPr>
          <w:rFonts w:ascii="Arial" w:hAnsi="Arial" w:cs="Arial"/>
        </w:rPr>
        <w:t xml:space="preserve">from </w:t>
      </w:r>
      <w:r w:rsidR="00AD2DDF">
        <w:rPr>
          <w:rFonts w:ascii="Arial" w:hAnsi="Arial" w:cs="Arial"/>
        </w:rPr>
        <w:t>202</w:t>
      </w:r>
      <w:r w:rsidR="00AF01AE">
        <w:rPr>
          <w:rFonts w:ascii="Arial" w:hAnsi="Arial" w:cs="Arial"/>
        </w:rPr>
        <w:t>3</w:t>
      </w:r>
      <w:r w:rsidR="00AD2DDF">
        <w:rPr>
          <w:rFonts w:ascii="Arial" w:hAnsi="Arial" w:cs="Arial"/>
        </w:rPr>
        <w:t xml:space="preserve"> to 202</w:t>
      </w:r>
      <w:r w:rsidR="00AF01AE">
        <w:rPr>
          <w:rFonts w:ascii="Arial" w:hAnsi="Arial" w:cs="Arial"/>
        </w:rPr>
        <w:t>4</w:t>
      </w:r>
      <w:r w:rsidR="00AD2DDF">
        <w:rPr>
          <w:rFonts w:ascii="Arial" w:hAnsi="Arial" w:cs="Arial"/>
        </w:rPr>
        <w:t xml:space="preserve"> and is a positive trend</w:t>
      </w:r>
      <w:r w:rsidR="005918A3">
        <w:rPr>
          <w:rFonts w:ascii="Arial" w:hAnsi="Arial" w:cs="Arial"/>
        </w:rPr>
        <w:t>.</w:t>
      </w:r>
      <w:r w:rsidR="00B83DBD">
        <w:rPr>
          <w:rFonts w:ascii="Arial" w:hAnsi="Arial" w:cs="Arial"/>
        </w:rPr>
        <w:t xml:space="preserve"> The figure of 0.32% is significantly lower than the mean </w:t>
      </w:r>
      <w:r w:rsidR="00B83DBD" w:rsidRPr="00A46E63">
        <w:rPr>
          <w:rFonts w:ascii="Arial" w:hAnsi="Arial" w:cs="Arial"/>
        </w:rPr>
        <w:t>gender pay gap for</w:t>
      </w:r>
      <w:r w:rsidR="00B83DBD">
        <w:rPr>
          <w:rFonts w:ascii="Arial" w:hAnsi="Arial" w:cs="Arial"/>
        </w:rPr>
        <w:t xml:space="preserve"> all UK employees in 2025 of 6.8%, as reported </w:t>
      </w:r>
      <w:r w:rsidR="00161EA5">
        <w:rPr>
          <w:rFonts w:ascii="Arial" w:hAnsi="Arial" w:cs="Arial"/>
        </w:rPr>
        <w:t>on GOV.UK</w:t>
      </w:r>
      <w:r w:rsidR="00B83DBD">
        <w:rPr>
          <w:rFonts w:ascii="Arial" w:hAnsi="Arial" w:cs="Arial"/>
        </w:rPr>
        <w:t>.</w:t>
      </w:r>
    </w:p>
    <w:p w14:paraId="4C2C0726" w14:textId="77777777" w:rsidR="005918A3" w:rsidRPr="00145A31" w:rsidRDefault="005918A3" w:rsidP="00A46E63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336F5972" w14:textId="0EA56F0B" w:rsidR="003F582E" w:rsidRDefault="005918A3" w:rsidP="00A46E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F582E" w:rsidRPr="00A46E63">
        <w:rPr>
          <w:rFonts w:ascii="Arial" w:hAnsi="Arial" w:cs="Arial"/>
        </w:rPr>
        <w:t xml:space="preserve">he </w:t>
      </w:r>
      <w:r w:rsidR="003F582E" w:rsidRPr="00A46E63">
        <w:rPr>
          <w:rFonts w:ascii="Arial" w:hAnsi="Arial" w:cs="Arial"/>
          <w:b/>
        </w:rPr>
        <w:t>median</w:t>
      </w:r>
      <w:r w:rsidR="003F582E" w:rsidRPr="00A46E63">
        <w:rPr>
          <w:rFonts w:ascii="Arial" w:hAnsi="Arial" w:cs="Arial"/>
        </w:rPr>
        <w:t xml:space="preserve"> gender pay gap </w:t>
      </w:r>
      <w:r w:rsidR="0023218D">
        <w:rPr>
          <w:rFonts w:ascii="Arial" w:hAnsi="Arial" w:cs="Arial"/>
        </w:rPr>
        <w:t>is -3.41</w:t>
      </w:r>
      <w:r w:rsidR="00880D69">
        <w:rPr>
          <w:rFonts w:ascii="Arial" w:hAnsi="Arial" w:cs="Arial"/>
        </w:rPr>
        <w:t xml:space="preserve">% </w:t>
      </w:r>
      <w:r w:rsidR="00B1770E">
        <w:rPr>
          <w:rFonts w:ascii="Arial" w:hAnsi="Arial" w:cs="Arial"/>
        </w:rPr>
        <w:t xml:space="preserve">(it was </w:t>
      </w:r>
      <w:r w:rsidR="00784CF5">
        <w:rPr>
          <w:rFonts w:ascii="Arial" w:hAnsi="Arial" w:cs="Arial"/>
        </w:rPr>
        <w:t>0</w:t>
      </w:r>
      <w:r w:rsidR="008C0F5D">
        <w:rPr>
          <w:rFonts w:ascii="Arial" w:hAnsi="Arial" w:cs="Arial"/>
        </w:rPr>
        <w:t>%</w:t>
      </w:r>
      <w:r w:rsidR="00AD2DDF">
        <w:rPr>
          <w:rFonts w:ascii="Arial" w:hAnsi="Arial" w:cs="Arial"/>
        </w:rPr>
        <w:t xml:space="preserve"> </w:t>
      </w:r>
      <w:r w:rsidR="00B1770E">
        <w:rPr>
          <w:rFonts w:ascii="Arial" w:hAnsi="Arial" w:cs="Arial"/>
        </w:rPr>
        <w:t>in</w:t>
      </w:r>
      <w:r w:rsidR="00AD2DDF">
        <w:rPr>
          <w:rFonts w:ascii="Arial" w:hAnsi="Arial" w:cs="Arial"/>
        </w:rPr>
        <w:t xml:space="preserve"> 202</w:t>
      </w:r>
      <w:r w:rsidR="00784CF5">
        <w:rPr>
          <w:rFonts w:ascii="Arial" w:hAnsi="Arial" w:cs="Arial"/>
        </w:rPr>
        <w:t>4</w:t>
      </w:r>
      <w:r w:rsidR="00B1770E">
        <w:rPr>
          <w:rFonts w:ascii="Arial" w:hAnsi="Arial" w:cs="Arial"/>
        </w:rPr>
        <w:t>)</w:t>
      </w:r>
      <w:r w:rsidR="00C419DA">
        <w:rPr>
          <w:rFonts w:ascii="Arial" w:hAnsi="Arial" w:cs="Arial"/>
        </w:rPr>
        <w:t xml:space="preserve">. </w:t>
      </w:r>
      <w:r w:rsidR="00D1105F">
        <w:rPr>
          <w:rFonts w:ascii="Arial" w:hAnsi="Arial" w:cs="Arial"/>
        </w:rPr>
        <w:t>A</w:t>
      </w:r>
      <w:r w:rsidR="00D1105F" w:rsidRPr="00D1105F">
        <w:rPr>
          <w:rFonts w:ascii="Arial" w:hAnsi="Arial" w:cs="Arial"/>
        </w:rPr>
        <w:t xml:space="preserve"> negative figure denotes instances where </w:t>
      </w:r>
      <w:r w:rsidR="007F4603">
        <w:rPr>
          <w:rFonts w:ascii="Arial" w:hAnsi="Arial" w:cs="Arial"/>
        </w:rPr>
        <w:t>pay</w:t>
      </w:r>
      <w:r w:rsidR="00D1105F" w:rsidRPr="00D1105F">
        <w:rPr>
          <w:rFonts w:ascii="Arial" w:hAnsi="Arial" w:cs="Arial"/>
        </w:rPr>
        <w:t xml:space="preserve"> for women is higher than for men.</w:t>
      </w:r>
    </w:p>
    <w:p w14:paraId="51D9C144" w14:textId="77777777" w:rsidR="00A46E63" w:rsidRPr="00A46E63" w:rsidRDefault="00A46E63" w:rsidP="00A46E63">
      <w:pPr>
        <w:spacing w:after="0"/>
        <w:jc w:val="both"/>
        <w:rPr>
          <w:rFonts w:ascii="Arial" w:hAnsi="Arial" w:cs="Arial"/>
        </w:rPr>
      </w:pPr>
    </w:p>
    <w:p w14:paraId="05AA1CF7" w14:textId="5C1FF446" w:rsidR="00A46E63" w:rsidRPr="00A46E63" w:rsidRDefault="00C51BF0" w:rsidP="00A46E63">
      <w:pPr>
        <w:spacing w:after="0"/>
        <w:rPr>
          <w:rFonts w:ascii="Arial" w:hAnsi="Arial" w:cs="Arial"/>
          <w:b/>
        </w:rPr>
      </w:pPr>
      <w:r w:rsidRPr="00A46E63">
        <w:rPr>
          <w:rFonts w:ascii="Arial" w:hAnsi="Arial" w:cs="Arial"/>
          <w:b/>
        </w:rPr>
        <w:t xml:space="preserve">Actions </w:t>
      </w:r>
      <w:r w:rsidR="00926288">
        <w:rPr>
          <w:rFonts w:ascii="Arial" w:hAnsi="Arial" w:cs="Arial"/>
          <w:b/>
        </w:rPr>
        <w:t xml:space="preserve">influencing the </w:t>
      </w:r>
      <w:r w:rsidRPr="00A46E63">
        <w:rPr>
          <w:rFonts w:ascii="Arial" w:hAnsi="Arial" w:cs="Arial"/>
          <w:b/>
        </w:rPr>
        <w:t>Gender Pay Gap</w:t>
      </w:r>
    </w:p>
    <w:p w14:paraId="6418B52D" w14:textId="77777777" w:rsidR="00A46E63" w:rsidRPr="00145A31" w:rsidRDefault="00A46E63" w:rsidP="00A46E63">
      <w:pPr>
        <w:spacing w:after="0"/>
        <w:rPr>
          <w:rFonts w:ascii="Arial" w:hAnsi="Arial" w:cs="Arial"/>
          <w:b/>
          <w:sz w:val="12"/>
          <w:szCs w:val="12"/>
        </w:rPr>
      </w:pPr>
    </w:p>
    <w:p w14:paraId="60423087" w14:textId="114C985F" w:rsidR="00AB6E75" w:rsidRPr="00AB6E75" w:rsidRDefault="00AB6E75" w:rsidP="00AB6E75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B6E75">
        <w:rPr>
          <w:rFonts w:ascii="Arial" w:hAnsi="Arial" w:cs="Arial"/>
        </w:rPr>
        <w:t xml:space="preserve">The Pay and Grade Structure (which affects most salaries) was introduced in April 2018 following a two-year project to develop a robust job evaluation and market testing process. This structure was reviewed – with external input – as part of the 2023/24 Pay &amp; Reward Project and no bias was identified. Further reviews of this Structure are underway in </w:t>
      </w:r>
      <w:r w:rsidR="007A3DE8" w:rsidRPr="00AB6E75">
        <w:rPr>
          <w:rFonts w:ascii="Arial" w:hAnsi="Arial" w:cs="Arial"/>
        </w:rPr>
        <w:t>2025,</w:t>
      </w:r>
      <w:r w:rsidRPr="00AB6E75">
        <w:rPr>
          <w:rFonts w:ascii="Arial" w:hAnsi="Arial" w:cs="Arial"/>
        </w:rPr>
        <w:t xml:space="preserve"> and measures will be taken to remove bias.</w:t>
      </w:r>
    </w:p>
    <w:p w14:paraId="664C99B6" w14:textId="77777777" w:rsidR="00AB6E75" w:rsidRPr="00AB6E75" w:rsidRDefault="00AB6E75" w:rsidP="00AB6E75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B6E75">
        <w:rPr>
          <w:rFonts w:ascii="Arial" w:hAnsi="Arial" w:cs="Arial"/>
        </w:rPr>
        <w:t xml:space="preserve">The Equality, Diversity and Inclusion (EDI) Action Plan contains </w:t>
      </w:r>
      <w:proofErr w:type="gramStart"/>
      <w:r w:rsidRPr="00AB6E75">
        <w:rPr>
          <w:rFonts w:ascii="Arial" w:hAnsi="Arial" w:cs="Arial"/>
        </w:rPr>
        <w:t>a number of</w:t>
      </w:r>
      <w:proofErr w:type="gramEnd"/>
      <w:r w:rsidRPr="00AB6E75">
        <w:rPr>
          <w:rFonts w:ascii="Arial" w:hAnsi="Arial" w:cs="Arial"/>
        </w:rPr>
        <w:t xml:space="preserve"> actions focussing on recruitment practice positively influencing potential gender bias.</w:t>
      </w:r>
    </w:p>
    <w:p w14:paraId="23B1BFD3" w14:textId="77777777" w:rsidR="00AB6E75" w:rsidRPr="00AB6E75" w:rsidRDefault="00AB6E75" w:rsidP="00AB6E75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B6E75">
        <w:rPr>
          <w:rFonts w:ascii="Arial" w:hAnsi="Arial" w:cs="Arial"/>
        </w:rPr>
        <w:t>At the EDI Champion Symposium held in April 2025, an Equality Checklist was introduced to encourage greater consideration of unconscious bias.</w:t>
      </w:r>
    </w:p>
    <w:p w14:paraId="7518B9EC" w14:textId="77777777" w:rsidR="00AB6E75" w:rsidRPr="00AB6E75" w:rsidRDefault="00AB6E75" w:rsidP="00AB6E75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B6E75">
        <w:rPr>
          <w:rFonts w:ascii="Arial" w:hAnsi="Arial" w:cs="Arial"/>
        </w:rPr>
        <w:t>Through the Staff Council, consisting of elected staff representatives and trade union stewards, Equality, Diversity and Inclusion matters are discussed. These include the Gender Pay Gap.</w:t>
      </w:r>
    </w:p>
    <w:p w14:paraId="50A17C62" w14:textId="77777777" w:rsidR="00AB6E75" w:rsidRPr="00AB6E75" w:rsidRDefault="00AB6E75" w:rsidP="00AB6E75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B6E75">
        <w:rPr>
          <w:rFonts w:ascii="Arial" w:hAnsi="Arial" w:cs="Arial"/>
        </w:rPr>
        <w:t>Framework’s Board receives an annual report on human resources which includes a breakdown and analysis of our workforce profile, including by gender, with information on the Gender Pay Gap.</w:t>
      </w:r>
    </w:p>
    <w:p w14:paraId="5E2D99EF" w14:textId="77777777" w:rsidR="00AB6E75" w:rsidRPr="00AB6E75" w:rsidRDefault="00AB6E75" w:rsidP="00AB6E75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B6E75">
        <w:rPr>
          <w:rFonts w:ascii="Arial" w:hAnsi="Arial" w:cs="Arial"/>
        </w:rPr>
        <w:t>We continue to offer a holiday purchase scheme that allows added flexibility around work/ life balance.</w:t>
      </w:r>
    </w:p>
    <w:p w14:paraId="003C9931" w14:textId="77777777" w:rsidR="00AB6E75" w:rsidRDefault="00AB6E75" w:rsidP="00AB6E75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B6E75">
        <w:rPr>
          <w:rFonts w:ascii="Arial" w:hAnsi="Arial" w:cs="Arial"/>
        </w:rPr>
        <w:t>More broadly, Framework are committed to offering roles on flexible working patterns, including a range of options, such as part-time working and alternative working hours.</w:t>
      </w:r>
    </w:p>
    <w:p w14:paraId="42007CBF" w14:textId="4C414D3A" w:rsidR="00A46E63" w:rsidRPr="00AB6E75" w:rsidRDefault="00CD7634" w:rsidP="00AB6E75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B6E75">
        <w:rPr>
          <w:rFonts w:ascii="Arial" w:hAnsi="Arial" w:cs="Arial"/>
        </w:rPr>
        <w:t>Framework has a Menopause Policy</w:t>
      </w:r>
      <w:r w:rsidR="00FE3108" w:rsidRPr="00AB6E75">
        <w:rPr>
          <w:rFonts w:ascii="Arial" w:hAnsi="Arial" w:cs="Arial"/>
        </w:rPr>
        <w:t xml:space="preserve"> and </w:t>
      </w:r>
      <w:r w:rsidRPr="00AB6E75">
        <w:rPr>
          <w:rFonts w:ascii="Arial" w:hAnsi="Arial" w:cs="Arial"/>
        </w:rPr>
        <w:t xml:space="preserve">a </w:t>
      </w:r>
      <w:r w:rsidR="00FE3108" w:rsidRPr="00AB6E75">
        <w:rPr>
          <w:rFonts w:ascii="Arial" w:hAnsi="Arial" w:cs="Arial"/>
        </w:rPr>
        <w:t>M</w:t>
      </w:r>
      <w:r w:rsidRPr="00AB6E75">
        <w:rPr>
          <w:rFonts w:ascii="Arial" w:hAnsi="Arial" w:cs="Arial"/>
        </w:rPr>
        <w:t xml:space="preserve">enopause </w:t>
      </w:r>
      <w:r w:rsidR="00FE3108" w:rsidRPr="00AB6E75">
        <w:rPr>
          <w:rFonts w:ascii="Arial" w:hAnsi="Arial" w:cs="Arial"/>
        </w:rPr>
        <w:t>Network</w:t>
      </w:r>
      <w:r w:rsidRPr="00AB6E75">
        <w:rPr>
          <w:rFonts w:ascii="Arial" w:hAnsi="Arial" w:cs="Arial"/>
        </w:rPr>
        <w:t xml:space="preserve"> </w:t>
      </w:r>
      <w:r w:rsidR="00C34D9E" w:rsidRPr="00AB6E75">
        <w:rPr>
          <w:rFonts w:ascii="Arial" w:hAnsi="Arial" w:cs="Arial"/>
        </w:rPr>
        <w:t>available to</w:t>
      </w:r>
      <w:r w:rsidRPr="00AB6E75">
        <w:rPr>
          <w:rFonts w:ascii="Arial" w:hAnsi="Arial" w:cs="Arial"/>
        </w:rPr>
        <w:t xml:space="preserve"> staff</w:t>
      </w:r>
      <w:r w:rsidR="00566675" w:rsidRPr="00AB6E75">
        <w:rPr>
          <w:rFonts w:ascii="Arial" w:hAnsi="Arial" w:cs="Arial"/>
        </w:rPr>
        <w:t xml:space="preserve">. It is supplemented by </w:t>
      </w:r>
      <w:r w:rsidRPr="00AB6E75">
        <w:rPr>
          <w:rFonts w:ascii="Arial" w:hAnsi="Arial" w:cs="Arial"/>
        </w:rPr>
        <w:t xml:space="preserve">self-help resources for staff and line managers. </w:t>
      </w:r>
    </w:p>
    <w:p w14:paraId="21F13FB0" w14:textId="3F251848" w:rsidR="00A46E63" w:rsidRPr="00566675" w:rsidRDefault="00A46E63" w:rsidP="00566675">
      <w:pPr>
        <w:spacing w:after="0"/>
        <w:ind w:left="425" w:hanging="425"/>
        <w:rPr>
          <w:rFonts w:ascii="Arial" w:hAnsi="Arial" w:cs="Arial"/>
          <w:sz w:val="12"/>
          <w:szCs w:val="12"/>
        </w:rPr>
      </w:pPr>
    </w:p>
    <w:p w14:paraId="5EDD72AB" w14:textId="67CF5DFE" w:rsidR="009F4795" w:rsidRDefault="00A46E63" w:rsidP="00566675">
      <w:pPr>
        <w:spacing w:after="0"/>
        <w:jc w:val="both"/>
        <w:rPr>
          <w:rFonts w:ascii="Arial" w:hAnsi="Arial" w:cs="Arial"/>
        </w:rPr>
      </w:pPr>
      <w:r w:rsidRPr="00A46E63">
        <w:rPr>
          <w:rFonts w:ascii="Arial" w:hAnsi="Arial" w:cs="Arial"/>
        </w:rPr>
        <w:t>Framework remain</w:t>
      </w:r>
      <w:r w:rsidR="00566675">
        <w:rPr>
          <w:rFonts w:ascii="Arial" w:hAnsi="Arial" w:cs="Arial"/>
        </w:rPr>
        <w:t>s</w:t>
      </w:r>
      <w:r w:rsidRPr="00A46E63">
        <w:rPr>
          <w:rFonts w:ascii="Arial" w:hAnsi="Arial" w:cs="Arial"/>
        </w:rPr>
        <w:t xml:space="preserve"> committed to fair pay and reward irrespective of gender</w:t>
      </w:r>
      <w:r w:rsidR="00145A31">
        <w:rPr>
          <w:rFonts w:ascii="Arial" w:hAnsi="Arial" w:cs="Arial"/>
        </w:rPr>
        <w:t xml:space="preserve">. Work on this will continue, informed by the Gender Pay Gap and accompanying </w:t>
      </w:r>
      <w:r w:rsidR="00566675">
        <w:rPr>
          <w:rFonts w:ascii="Arial" w:hAnsi="Arial" w:cs="Arial"/>
        </w:rPr>
        <w:t>information</w:t>
      </w:r>
      <w:r w:rsidRPr="00A46E63">
        <w:rPr>
          <w:rFonts w:ascii="Arial" w:hAnsi="Arial" w:cs="Arial"/>
        </w:rPr>
        <w:t>.</w:t>
      </w:r>
      <w:r w:rsidR="00566675">
        <w:rPr>
          <w:rFonts w:ascii="Arial" w:hAnsi="Arial" w:cs="Arial"/>
        </w:rPr>
        <w:t xml:space="preserve"> </w:t>
      </w:r>
    </w:p>
    <w:p w14:paraId="601425C2" w14:textId="77777777" w:rsidR="00B94E64" w:rsidRDefault="00B94E64" w:rsidP="00566675">
      <w:pPr>
        <w:spacing w:after="0"/>
        <w:jc w:val="both"/>
        <w:rPr>
          <w:rFonts w:ascii="Arial" w:hAnsi="Arial" w:cs="Arial"/>
        </w:rPr>
      </w:pPr>
    </w:p>
    <w:sectPr w:rsidR="00B94E64" w:rsidSect="00520613">
      <w:pgSz w:w="11906" w:h="16838"/>
      <w:pgMar w:top="425" w:right="1361" w:bottom="28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2060" w14:textId="77777777" w:rsidR="007B594E" w:rsidRDefault="007B594E" w:rsidP="000E5824">
      <w:pPr>
        <w:spacing w:after="0" w:line="240" w:lineRule="auto"/>
      </w:pPr>
      <w:r>
        <w:separator/>
      </w:r>
    </w:p>
  </w:endnote>
  <w:endnote w:type="continuationSeparator" w:id="0">
    <w:p w14:paraId="63987915" w14:textId="77777777" w:rsidR="007B594E" w:rsidRDefault="007B594E" w:rsidP="000E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0835" w14:textId="77777777" w:rsidR="007B594E" w:rsidRDefault="007B594E" w:rsidP="000E5824">
      <w:pPr>
        <w:spacing w:after="0" w:line="240" w:lineRule="auto"/>
      </w:pPr>
      <w:r>
        <w:separator/>
      </w:r>
    </w:p>
  </w:footnote>
  <w:footnote w:type="continuationSeparator" w:id="0">
    <w:p w14:paraId="1B655999" w14:textId="77777777" w:rsidR="007B594E" w:rsidRDefault="007B594E" w:rsidP="000E5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C93"/>
    <w:multiLevelType w:val="multilevel"/>
    <w:tmpl w:val="C63C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5670D"/>
    <w:multiLevelType w:val="hybridMultilevel"/>
    <w:tmpl w:val="3E3A8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37020"/>
    <w:multiLevelType w:val="hybridMultilevel"/>
    <w:tmpl w:val="134E0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E6B8B"/>
    <w:multiLevelType w:val="hybridMultilevel"/>
    <w:tmpl w:val="813407C6"/>
    <w:lvl w:ilvl="0" w:tplc="8416C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E4942"/>
    <w:multiLevelType w:val="hybridMultilevel"/>
    <w:tmpl w:val="53AEB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84FC4"/>
    <w:multiLevelType w:val="hybridMultilevel"/>
    <w:tmpl w:val="D4FEB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9187">
    <w:abstractNumId w:val="3"/>
  </w:num>
  <w:num w:numId="2" w16cid:durableId="1445148082">
    <w:abstractNumId w:val="1"/>
  </w:num>
  <w:num w:numId="3" w16cid:durableId="266041131">
    <w:abstractNumId w:val="4"/>
  </w:num>
  <w:num w:numId="4" w16cid:durableId="38630143">
    <w:abstractNumId w:val="5"/>
  </w:num>
  <w:num w:numId="5" w16cid:durableId="1588807983">
    <w:abstractNumId w:val="2"/>
  </w:num>
  <w:num w:numId="6" w16cid:durableId="138583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824"/>
    <w:rsid w:val="0000385D"/>
    <w:rsid w:val="00015582"/>
    <w:rsid w:val="00036B79"/>
    <w:rsid w:val="00046CA7"/>
    <w:rsid w:val="00082A9A"/>
    <w:rsid w:val="000926A5"/>
    <w:rsid w:val="0009527C"/>
    <w:rsid w:val="00095D69"/>
    <w:rsid w:val="000B74A8"/>
    <w:rsid w:val="000C777A"/>
    <w:rsid w:val="000E5824"/>
    <w:rsid w:val="00107E02"/>
    <w:rsid w:val="00120C6B"/>
    <w:rsid w:val="00125B45"/>
    <w:rsid w:val="0014579D"/>
    <w:rsid w:val="00145A31"/>
    <w:rsid w:val="00147EE4"/>
    <w:rsid w:val="00155006"/>
    <w:rsid w:val="0015552D"/>
    <w:rsid w:val="00161EA5"/>
    <w:rsid w:val="001A094E"/>
    <w:rsid w:val="001B3616"/>
    <w:rsid w:val="001C7DA1"/>
    <w:rsid w:val="001E2420"/>
    <w:rsid w:val="001F14DA"/>
    <w:rsid w:val="001F5E29"/>
    <w:rsid w:val="00224288"/>
    <w:rsid w:val="0023218D"/>
    <w:rsid w:val="00240C15"/>
    <w:rsid w:val="002B03F9"/>
    <w:rsid w:val="002C23CA"/>
    <w:rsid w:val="00314988"/>
    <w:rsid w:val="00346B6D"/>
    <w:rsid w:val="003720AE"/>
    <w:rsid w:val="003A0769"/>
    <w:rsid w:val="003B12DE"/>
    <w:rsid w:val="003C21B0"/>
    <w:rsid w:val="003C611A"/>
    <w:rsid w:val="003F582E"/>
    <w:rsid w:val="0041044B"/>
    <w:rsid w:val="00457412"/>
    <w:rsid w:val="00457BED"/>
    <w:rsid w:val="00493073"/>
    <w:rsid w:val="004954ED"/>
    <w:rsid w:val="004D0263"/>
    <w:rsid w:val="004D0487"/>
    <w:rsid w:val="004E02D0"/>
    <w:rsid w:val="004F52EE"/>
    <w:rsid w:val="00520613"/>
    <w:rsid w:val="00523BF6"/>
    <w:rsid w:val="00552C06"/>
    <w:rsid w:val="005631A1"/>
    <w:rsid w:val="00566675"/>
    <w:rsid w:val="00571477"/>
    <w:rsid w:val="005753EC"/>
    <w:rsid w:val="00585D83"/>
    <w:rsid w:val="005918A3"/>
    <w:rsid w:val="005A5B60"/>
    <w:rsid w:val="005C7A51"/>
    <w:rsid w:val="005E1333"/>
    <w:rsid w:val="005F12B6"/>
    <w:rsid w:val="006022A3"/>
    <w:rsid w:val="00604172"/>
    <w:rsid w:val="00652D0A"/>
    <w:rsid w:val="006558A8"/>
    <w:rsid w:val="00661778"/>
    <w:rsid w:val="00662525"/>
    <w:rsid w:val="0067739A"/>
    <w:rsid w:val="00696D56"/>
    <w:rsid w:val="006A3A74"/>
    <w:rsid w:val="006D0867"/>
    <w:rsid w:val="006F3B94"/>
    <w:rsid w:val="006F7767"/>
    <w:rsid w:val="0070215E"/>
    <w:rsid w:val="00706CAE"/>
    <w:rsid w:val="00707396"/>
    <w:rsid w:val="00743D28"/>
    <w:rsid w:val="007502AD"/>
    <w:rsid w:val="0075068C"/>
    <w:rsid w:val="00760050"/>
    <w:rsid w:val="0076745A"/>
    <w:rsid w:val="00784CF5"/>
    <w:rsid w:val="007964BC"/>
    <w:rsid w:val="007A3DE8"/>
    <w:rsid w:val="007B46F1"/>
    <w:rsid w:val="007B594E"/>
    <w:rsid w:val="007C4785"/>
    <w:rsid w:val="007E1BF5"/>
    <w:rsid w:val="007F2CDE"/>
    <w:rsid w:val="007F4603"/>
    <w:rsid w:val="00800C81"/>
    <w:rsid w:val="008022CB"/>
    <w:rsid w:val="00832300"/>
    <w:rsid w:val="008644B3"/>
    <w:rsid w:val="00880D69"/>
    <w:rsid w:val="00885282"/>
    <w:rsid w:val="008967B1"/>
    <w:rsid w:val="008A78F3"/>
    <w:rsid w:val="008C0F5D"/>
    <w:rsid w:val="008E3A82"/>
    <w:rsid w:val="008F0CA3"/>
    <w:rsid w:val="008F5253"/>
    <w:rsid w:val="00925F21"/>
    <w:rsid w:val="00926288"/>
    <w:rsid w:val="00953864"/>
    <w:rsid w:val="0095662F"/>
    <w:rsid w:val="00956A24"/>
    <w:rsid w:val="009C07A6"/>
    <w:rsid w:val="009C1112"/>
    <w:rsid w:val="009C11F7"/>
    <w:rsid w:val="009F4795"/>
    <w:rsid w:val="00A460E4"/>
    <w:rsid w:val="00A46E63"/>
    <w:rsid w:val="00A67E25"/>
    <w:rsid w:val="00A8187A"/>
    <w:rsid w:val="00AB6E75"/>
    <w:rsid w:val="00AC6A84"/>
    <w:rsid w:val="00AD2DDF"/>
    <w:rsid w:val="00AF01AE"/>
    <w:rsid w:val="00AF4A37"/>
    <w:rsid w:val="00B0280A"/>
    <w:rsid w:val="00B146FF"/>
    <w:rsid w:val="00B1770E"/>
    <w:rsid w:val="00B66B2A"/>
    <w:rsid w:val="00B76711"/>
    <w:rsid w:val="00B83DBD"/>
    <w:rsid w:val="00B94E64"/>
    <w:rsid w:val="00BD281E"/>
    <w:rsid w:val="00C055E3"/>
    <w:rsid w:val="00C1353C"/>
    <w:rsid w:val="00C34D6F"/>
    <w:rsid w:val="00C34D9E"/>
    <w:rsid w:val="00C40391"/>
    <w:rsid w:val="00C419DA"/>
    <w:rsid w:val="00C51BF0"/>
    <w:rsid w:val="00C620FD"/>
    <w:rsid w:val="00C665D7"/>
    <w:rsid w:val="00C75538"/>
    <w:rsid w:val="00C93577"/>
    <w:rsid w:val="00CA12AD"/>
    <w:rsid w:val="00CD5916"/>
    <w:rsid w:val="00CD7634"/>
    <w:rsid w:val="00CE2BEA"/>
    <w:rsid w:val="00D03F1E"/>
    <w:rsid w:val="00D1105F"/>
    <w:rsid w:val="00D94D5A"/>
    <w:rsid w:val="00D9620B"/>
    <w:rsid w:val="00DA6837"/>
    <w:rsid w:val="00DB2749"/>
    <w:rsid w:val="00DB7F83"/>
    <w:rsid w:val="00DD7174"/>
    <w:rsid w:val="00DD7E5C"/>
    <w:rsid w:val="00E35F0F"/>
    <w:rsid w:val="00E62CF2"/>
    <w:rsid w:val="00E7143A"/>
    <w:rsid w:val="00E90BC5"/>
    <w:rsid w:val="00E94F28"/>
    <w:rsid w:val="00EB2308"/>
    <w:rsid w:val="00EB2E03"/>
    <w:rsid w:val="00EC18EE"/>
    <w:rsid w:val="00EC2818"/>
    <w:rsid w:val="00ED4908"/>
    <w:rsid w:val="00F150ED"/>
    <w:rsid w:val="00F24D1B"/>
    <w:rsid w:val="00F57CDD"/>
    <w:rsid w:val="00F9178F"/>
    <w:rsid w:val="00F95213"/>
    <w:rsid w:val="00FA4A39"/>
    <w:rsid w:val="00FB27A7"/>
    <w:rsid w:val="00FB33D6"/>
    <w:rsid w:val="00FC2607"/>
    <w:rsid w:val="00FE3108"/>
    <w:rsid w:val="00FE572C"/>
    <w:rsid w:val="00FF6C4C"/>
    <w:rsid w:val="71E3D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2784"/>
  <w15:docId w15:val="{69B6F75E-AB47-4F18-B25B-C08CBF22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824"/>
  </w:style>
  <w:style w:type="paragraph" w:styleId="Footer">
    <w:name w:val="footer"/>
    <w:basedOn w:val="Normal"/>
    <w:link w:val="FooterChar"/>
    <w:uiPriority w:val="99"/>
    <w:semiHidden/>
    <w:unhideWhenUsed/>
    <w:rsid w:val="000E5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5824"/>
  </w:style>
  <w:style w:type="table" w:styleId="TableGrid">
    <w:name w:val="Table Grid"/>
    <w:basedOn w:val="TableNormal"/>
    <w:uiPriority w:val="59"/>
    <w:rsid w:val="00FA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942e72-389c-472d-a2b3-954c23b982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EE94702DAAD45B0BEB2FADCAEACA9" ma:contentTypeVersion="18" ma:contentTypeDescription="Create a new document." ma:contentTypeScope="" ma:versionID="991b97df56e9066bfa931dac2faee992">
  <xsd:schema xmlns:xsd="http://www.w3.org/2001/XMLSchema" xmlns:xs="http://www.w3.org/2001/XMLSchema" xmlns:p="http://schemas.microsoft.com/office/2006/metadata/properties" xmlns:ns3="44942e72-389c-472d-a2b3-954c23b982a4" xmlns:ns4="08f25b24-aed9-4e8f-90ed-2e67d9573366" targetNamespace="http://schemas.microsoft.com/office/2006/metadata/properties" ma:root="true" ma:fieldsID="4b722e936a01ced80c383f7f77cbdf1a" ns3:_="" ns4:_="">
    <xsd:import namespace="44942e72-389c-472d-a2b3-954c23b982a4"/>
    <xsd:import namespace="08f25b24-aed9-4e8f-90ed-2e67d95733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2e72-389c-472d-a2b3-954c23b98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5b24-aed9-4e8f-90ed-2e67d957336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DC55E-681D-45EE-8E05-406CE3B20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25C9F-EEFE-4C55-8F78-A0B0B0883254}">
  <ds:schemaRefs>
    <ds:schemaRef ds:uri="http://schemas.microsoft.com/office/2006/metadata/properties"/>
    <ds:schemaRef ds:uri="http://schemas.microsoft.com/office/infopath/2007/PartnerControls"/>
    <ds:schemaRef ds:uri="44942e72-389c-472d-a2b3-954c23b982a4"/>
  </ds:schemaRefs>
</ds:datastoreItem>
</file>

<file path=customXml/itemProps3.xml><?xml version="1.0" encoding="utf-8"?>
<ds:datastoreItem xmlns:ds="http://schemas.openxmlformats.org/officeDocument/2006/customXml" ds:itemID="{0A433D95-A880-4C50-9111-4CED5B5179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F81D68-3DB8-4BA2-8382-5705B5CFF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42e72-389c-472d-a2b3-954c23b982a4"/>
    <ds:schemaRef ds:uri="08f25b24-aed9-4e8f-90ed-2e67d9573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3654</Characters>
  <Application>Microsoft Office Word</Application>
  <DocSecurity>0</DocSecurity>
  <Lines>163</Lines>
  <Paragraphs>89</Paragraphs>
  <ScaleCrop>false</ScaleCrop>
  <Company>Hewlett-Packard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Wright</dc:creator>
  <cp:lastModifiedBy>Mark Rose</cp:lastModifiedBy>
  <cp:revision>30</cp:revision>
  <cp:lastPrinted>2022-04-04T15:01:00Z</cp:lastPrinted>
  <dcterms:created xsi:type="dcterms:W3CDTF">2026-03-12T14:08:00Z</dcterms:created>
  <dcterms:modified xsi:type="dcterms:W3CDTF">2026-03-19T15:31:00Z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0x01010029CEE94702DAAD45B0BEB2FADCAEACA9</vt:lpwstr>
  </property>
</Properties>
</file>