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D80E8" w14:textId="116760E0" w:rsidR="00E63A02" w:rsidRPr="00BC4C68" w:rsidRDefault="00FC6F21" w:rsidP="00CB5852">
      <w:pPr>
        <w:spacing w:after="60" w:line="252" w:lineRule="auto"/>
        <w:jc w:val="center"/>
        <w:rPr>
          <w:rFonts w:ascii="Arial" w:hAnsi="Arial" w:cs="Arial"/>
          <w:b/>
          <w:bCs/>
        </w:rPr>
      </w:pPr>
      <w:r>
        <w:rPr>
          <w:rFonts w:ascii="Arial" w:hAnsi="Arial" w:cs="Arial"/>
          <w:b/>
          <w:bCs/>
        </w:rPr>
        <w:t xml:space="preserve">Annual </w:t>
      </w:r>
      <w:r w:rsidR="00E63A02" w:rsidRPr="00BC4C68">
        <w:rPr>
          <w:rFonts w:ascii="Arial" w:hAnsi="Arial" w:cs="Arial"/>
          <w:b/>
          <w:bCs/>
        </w:rPr>
        <w:t>Complaints Performance and Service Improvement</w:t>
      </w:r>
      <w:r>
        <w:rPr>
          <w:rFonts w:ascii="Arial" w:hAnsi="Arial" w:cs="Arial"/>
          <w:b/>
          <w:bCs/>
        </w:rPr>
        <w:t xml:space="preserve"> Report 2024/25</w:t>
      </w:r>
    </w:p>
    <w:p w14:paraId="5C482A1A" w14:textId="77777777" w:rsidR="00E63A02" w:rsidRPr="00BC4C68" w:rsidRDefault="00E63A02" w:rsidP="00000E08">
      <w:pPr>
        <w:spacing w:line="252" w:lineRule="auto"/>
        <w:jc w:val="both"/>
        <w:rPr>
          <w:rFonts w:ascii="Arial" w:hAnsi="Arial" w:cs="Arial"/>
          <w:b/>
          <w:bCs/>
          <w:sz w:val="12"/>
          <w:szCs w:val="12"/>
        </w:rPr>
      </w:pPr>
    </w:p>
    <w:p w14:paraId="2216366A" w14:textId="43712A4F" w:rsidR="00E63A02" w:rsidRPr="00BC4C68" w:rsidRDefault="00C05BB4" w:rsidP="004E319A">
      <w:pPr>
        <w:jc w:val="both"/>
        <w:rPr>
          <w:rFonts w:ascii="Arial" w:hAnsi="Arial" w:cs="Arial"/>
          <w:bCs/>
        </w:rPr>
      </w:pPr>
      <w:r w:rsidRPr="00BC4C68">
        <w:rPr>
          <w:rFonts w:ascii="Arial" w:hAnsi="Arial" w:cs="Arial"/>
          <w:bCs/>
        </w:rPr>
        <w:t xml:space="preserve">This </w:t>
      </w:r>
      <w:r w:rsidR="00FC6F21">
        <w:rPr>
          <w:rFonts w:ascii="Arial" w:hAnsi="Arial" w:cs="Arial"/>
          <w:bCs/>
        </w:rPr>
        <w:t>report provides</w:t>
      </w:r>
      <w:r w:rsidRPr="00BC4C68">
        <w:rPr>
          <w:rFonts w:ascii="Arial" w:hAnsi="Arial" w:cs="Arial"/>
          <w:bCs/>
        </w:rPr>
        <w:t xml:space="preserve"> </w:t>
      </w:r>
      <w:r w:rsidRPr="00BC4C68">
        <w:rPr>
          <w:rFonts w:ascii="Arial" w:hAnsi="Arial" w:cs="Arial"/>
        </w:rPr>
        <w:t>an overview of the housing related complaints (from people who live in our accommodation) we have received in the past year.  It also includes</w:t>
      </w:r>
      <w:r w:rsidR="00E63A02" w:rsidRPr="00BC4C68">
        <w:rPr>
          <w:rFonts w:ascii="Arial" w:hAnsi="Arial" w:cs="Arial"/>
          <w:bCs/>
        </w:rPr>
        <w:t xml:space="preserve"> examples of how learning from complaints has informed practice to improve the services we offer</w:t>
      </w:r>
      <w:r w:rsidR="004E319A" w:rsidRPr="00BC4C68">
        <w:rPr>
          <w:rFonts w:ascii="Arial" w:hAnsi="Arial" w:cs="Arial"/>
          <w:bCs/>
        </w:rPr>
        <w:t>.  It</w:t>
      </w:r>
      <w:r w:rsidR="00E63A02" w:rsidRPr="00BC4C68">
        <w:rPr>
          <w:rFonts w:ascii="Arial" w:hAnsi="Arial" w:cs="Arial"/>
          <w:bCs/>
        </w:rPr>
        <w:t xml:space="preserve"> demonstrate</w:t>
      </w:r>
      <w:r w:rsidR="004E319A" w:rsidRPr="00BC4C68">
        <w:rPr>
          <w:rFonts w:ascii="Arial" w:hAnsi="Arial" w:cs="Arial"/>
          <w:bCs/>
        </w:rPr>
        <w:t>s</w:t>
      </w:r>
      <w:r w:rsidR="00E63A02" w:rsidRPr="00BC4C68">
        <w:rPr>
          <w:rFonts w:ascii="Arial" w:hAnsi="Arial" w:cs="Arial"/>
          <w:bCs/>
        </w:rPr>
        <w:t xml:space="preserve"> our compliance with the Housing Ombudsman’s Complaint Handling </w:t>
      </w:r>
      <w:r w:rsidR="004E319A" w:rsidRPr="00BC4C68">
        <w:rPr>
          <w:rFonts w:ascii="Arial" w:hAnsi="Arial" w:cs="Arial"/>
          <w:bCs/>
        </w:rPr>
        <w:t>Code.</w:t>
      </w:r>
    </w:p>
    <w:p w14:paraId="493232A3" w14:textId="77777777" w:rsidR="00E63A02" w:rsidRPr="00BC4C68" w:rsidRDefault="00E63A02" w:rsidP="00E63A02">
      <w:pPr>
        <w:spacing w:line="252" w:lineRule="auto"/>
        <w:jc w:val="both"/>
        <w:rPr>
          <w:rFonts w:ascii="Arial" w:hAnsi="Arial" w:cs="Arial"/>
          <w:b/>
        </w:rPr>
      </w:pPr>
    </w:p>
    <w:p w14:paraId="25CD758D" w14:textId="117FC6FC" w:rsidR="00E63A02" w:rsidRPr="00BC4C68" w:rsidRDefault="00E63A02" w:rsidP="00E63A02">
      <w:pPr>
        <w:spacing w:line="252" w:lineRule="auto"/>
        <w:jc w:val="both"/>
        <w:rPr>
          <w:rFonts w:ascii="Arial" w:hAnsi="Arial" w:cs="Arial"/>
          <w:bCs/>
        </w:rPr>
      </w:pPr>
      <w:r w:rsidRPr="00BC4C68">
        <w:rPr>
          <w:rFonts w:ascii="Arial" w:hAnsi="Arial" w:cs="Arial"/>
          <w:bCs/>
        </w:rPr>
        <w:t xml:space="preserve">The code gives clear direction on how registered providers must manage complaints. This includes only having </w:t>
      </w:r>
      <w:r w:rsidR="00DE36BB">
        <w:rPr>
          <w:rFonts w:ascii="Arial" w:hAnsi="Arial" w:cs="Arial"/>
          <w:bCs/>
        </w:rPr>
        <w:t>two</w:t>
      </w:r>
      <w:r w:rsidRPr="00BC4C68">
        <w:rPr>
          <w:rFonts w:ascii="Arial" w:hAnsi="Arial" w:cs="Arial"/>
          <w:bCs/>
        </w:rPr>
        <w:t xml:space="preserve"> stages and strict timescales on how quickly residents can expect to receive a full response.</w:t>
      </w:r>
    </w:p>
    <w:p w14:paraId="56236FFF" w14:textId="77777777" w:rsidR="00E63A02" w:rsidRPr="00BC4C68" w:rsidRDefault="00E63A02" w:rsidP="00E63A02">
      <w:pPr>
        <w:spacing w:line="252" w:lineRule="auto"/>
        <w:jc w:val="both"/>
        <w:rPr>
          <w:rFonts w:ascii="Arial" w:hAnsi="Arial" w:cs="Arial"/>
          <w:b/>
        </w:rPr>
      </w:pPr>
    </w:p>
    <w:p w14:paraId="288C784F" w14:textId="4703438D" w:rsidR="00E63A02" w:rsidRPr="00BC4C68" w:rsidRDefault="00E63A02" w:rsidP="00E63A02">
      <w:pPr>
        <w:spacing w:line="252" w:lineRule="auto"/>
        <w:jc w:val="both"/>
        <w:rPr>
          <w:rFonts w:ascii="Arial" w:hAnsi="Arial" w:cs="Arial"/>
          <w:bCs/>
        </w:rPr>
      </w:pPr>
      <w:r w:rsidRPr="00BC4C68">
        <w:rPr>
          <w:rFonts w:ascii="Arial" w:hAnsi="Arial" w:cs="Arial"/>
          <w:bCs/>
        </w:rPr>
        <w:t>The Customer Satisfaction Manager has been in post since June 2024 and has introduced a new system for how we manage complaints in our accommodation services.</w:t>
      </w:r>
      <w:r w:rsidR="008D60AC" w:rsidRPr="00BC4C68">
        <w:rPr>
          <w:rFonts w:ascii="Arial" w:hAnsi="Arial" w:cs="Arial"/>
          <w:bCs/>
        </w:rPr>
        <w:t xml:space="preserve"> </w:t>
      </w:r>
    </w:p>
    <w:p w14:paraId="2FF02D0A" w14:textId="77777777" w:rsidR="00E63A02" w:rsidRPr="00BC4C68" w:rsidRDefault="00E63A02" w:rsidP="00E63A02">
      <w:pPr>
        <w:spacing w:line="252" w:lineRule="auto"/>
        <w:rPr>
          <w:rFonts w:ascii="Arial" w:hAnsi="Arial" w:cs="Arial"/>
          <w:b/>
        </w:rPr>
      </w:pPr>
    </w:p>
    <w:p w14:paraId="2BFCB745" w14:textId="77777777" w:rsidR="00E63A02" w:rsidRPr="00BC4C68" w:rsidRDefault="00E63A02" w:rsidP="00E63A02">
      <w:pPr>
        <w:spacing w:line="252" w:lineRule="auto"/>
        <w:rPr>
          <w:rFonts w:ascii="Arial" w:hAnsi="Arial" w:cs="Arial"/>
          <w:b/>
        </w:rPr>
      </w:pPr>
    </w:p>
    <w:p w14:paraId="190F955B" w14:textId="77777777" w:rsidR="00E63A02" w:rsidRDefault="00E63A02" w:rsidP="00E63A02">
      <w:pPr>
        <w:spacing w:line="252" w:lineRule="auto"/>
        <w:rPr>
          <w:rFonts w:ascii="Arial" w:hAnsi="Arial" w:cs="Arial"/>
          <w:b/>
        </w:rPr>
      </w:pPr>
      <w:r w:rsidRPr="00BC4C68">
        <w:rPr>
          <w:rFonts w:ascii="Arial" w:hAnsi="Arial" w:cs="Arial"/>
          <w:b/>
        </w:rPr>
        <w:t>Complaints data and performance</w:t>
      </w:r>
    </w:p>
    <w:p w14:paraId="0697EAEE" w14:textId="77777777" w:rsidR="00DE36BB" w:rsidRPr="00BC4C68" w:rsidRDefault="00DE36BB" w:rsidP="00E63A02">
      <w:pPr>
        <w:spacing w:line="252" w:lineRule="auto"/>
        <w:rPr>
          <w:rFonts w:ascii="Arial" w:hAnsi="Arial" w:cs="Arial"/>
          <w:b/>
        </w:rPr>
      </w:pPr>
    </w:p>
    <w:p w14:paraId="05E17BE2" w14:textId="77777777" w:rsidR="00E63A02" w:rsidRPr="00DE36BB" w:rsidRDefault="00E63A02" w:rsidP="00E63A02">
      <w:pPr>
        <w:spacing w:line="252" w:lineRule="auto"/>
        <w:rPr>
          <w:rFonts w:ascii="Arial" w:hAnsi="Arial" w:cs="Arial"/>
          <w:b/>
          <w:i/>
          <w:iCs/>
        </w:rPr>
      </w:pPr>
      <w:r w:rsidRPr="00DE36BB">
        <w:rPr>
          <w:rFonts w:ascii="Arial" w:hAnsi="Arial" w:cs="Arial"/>
          <w:b/>
          <w:i/>
          <w:iCs/>
        </w:rPr>
        <w:t>Number of complaints</w:t>
      </w:r>
    </w:p>
    <w:tbl>
      <w:tblPr>
        <w:tblStyle w:val="TableGrid"/>
        <w:tblW w:w="0" w:type="auto"/>
        <w:tblLook w:val="04A0" w:firstRow="1" w:lastRow="0" w:firstColumn="1" w:lastColumn="0" w:noHBand="0" w:noVBand="1"/>
      </w:tblPr>
      <w:tblGrid>
        <w:gridCol w:w="5382"/>
        <w:gridCol w:w="3312"/>
      </w:tblGrid>
      <w:tr w:rsidR="00E63A02" w:rsidRPr="00BC4C68" w14:paraId="4A2CC509" w14:textId="77777777" w:rsidTr="005E0D00">
        <w:tc>
          <w:tcPr>
            <w:tcW w:w="5382" w:type="dxa"/>
          </w:tcPr>
          <w:p w14:paraId="365A4CF1" w14:textId="77777777" w:rsidR="00E63A02" w:rsidRPr="00BC4C68" w:rsidRDefault="00E63A02" w:rsidP="005E0D00">
            <w:pPr>
              <w:spacing w:line="252" w:lineRule="auto"/>
              <w:rPr>
                <w:rFonts w:ascii="Arial" w:hAnsi="Arial" w:cs="Arial"/>
                <w:bCs/>
              </w:rPr>
            </w:pPr>
            <w:r w:rsidRPr="00BC4C68">
              <w:rPr>
                <w:rFonts w:ascii="Arial" w:hAnsi="Arial" w:cs="Arial"/>
                <w:bCs/>
              </w:rPr>
              <w:t>Total number of stage 1 complaints closed</w:t>
            </w:r>
          </w:p>
        </w:tc>
        <w:tc>
          <w:tcPr>
            <w:tcW w:w="3312" w:type="dxa"/>
          </w:tcPr>
          <w:p w14:paraId="41468A19" w14:textId="7D66C34A" w:rsidR="00E63A02" w:rsidRPr="00BC4C68" w:rsidRDefault="00617870" w:rsidP="005E0D00">
            <w:pPr>
              <w:spacing w:line="252" w:lineRule="auto"/>
              <w:rPr>
                <w:rFonts w:ascii="Arial" w:hAnsi="Arial" w:cs="Arial"/>
                <w:bCs/>
              </w:rPr>
            </w:pPr>
            <w:r>
              <w:rPr>
                <w:rFonts w:ascii="Arial" w:hAnsi="Arial" w:cs="Arial"/>
                <w:bCs/>
              </w:rPr>
              <w:t>11</w:t>
            </w:r>
            <w:r w:rsidR="005E72B9">
              <w:rPr>
                <w:rFonts w:ascii="Arial" w:hAnsi="Arial" w:cs="Arial"/>
                <w:bCs/>
              </w:rPr>
              <w:t>2 *</w:t>
            </w:r>
          </w:p>
        </w:tc>
      </w:tr>
      <w:tr w:rsidR="00E63A02" w:rsidRPr="00BC4C68" w14:paraId="18D78D96" w14:textId="77777777" w:rsidTr="005E0D00">
        <w:tc>
          <w:tcPr>
            <w:tcW w:w="5382" w:type="dxa"/>
          </w:tcPr>
          <w:p w14:paraId="328FCFF3" w14:textId="77777777" w:rsidR="00E63A02" w:rsidRPr="00BC4C68" w:rsidRDefault="00E63A02" w:rsidP="005E0D00">
            <w:pPr>
              <w:spacing w:line="252" w:lineRule="auto"/>
              <w:rPr>
                <w:rFonts w:ascii="Arial" w:hAnsi="Arial" w:cs="Arial"/>
                <w:bCs/>
              </w:rPr>
            </w:pPr>
            <w:r w:rsidRPr="00BC4C68">
              <w:rPr>
                <w:rFonts w:ascii="Arial" w:hAnsi="Arial" w:cs="Arial"/>
                <w:bCs/>
              </w:rPr>
              <w:t>Number of complaints upheld</w:t>
            </w:r>
          </w:p>
        </w:tc>
        <w:tc>
          <w:tcPr>
            <w:tcW w:w="3312" w:type="dxa"/>
          </w:tcPr>
          <w:p w14:paraId="52296369" w14:textId="742EA48D" w:rsidR="00E63A02" w:rsidRPr="00BC4C68" w:rsidRDefault="00282BE6" w:rsidP="005E0D00">
            <w:pPr>
              <w:spacing w:line="252" w:lineRule="auto"/>
              <w:rPr>
                <w:rFonts w:ascii="Arial" w:hAnsi="Arial" w:cs="Arial"/>
                <w:bCs/>
              </w:rPr>
            </w:pPr>
            <w:r>
              <w:rPr>
                <w:rFonts w:ascii="Arial" w:hAnsi="Arial" w:cs="Arial"/>
                <w:bCs/>
              </w:rPr>
              <w:t>38</w:t>
            </w:r>
          </w:p>
        </w:tc>
      </w:tr>
      <w:tr w:rsidR="00E63A02" w:rsidRPr="00BC4C68" w14:paraId="569E5E25" w14:textId="77777777" w:rsidTr="005E0D00">
        <w:tc>
          <w:tcPr>
            <w:tcW w:w="5382" w:type="dxa"/>
          </w:tcPr>
          <w:p w14:paraId="205F7030" w14:textId="77777777" w:rsidR="00E63A02" w:rsidRPr="00BC4C68" w:rsidRDefault="00E63A02" w:rsidP="005E0D00">
            <w:pPr>
              <w:spacing w:line="252" w:lineRule="auto"/>
              <w:rPr>
                <w:rFonts w:ascii="Arial" w:hAnsi="Arial" w:cs="Arial"/>
                <w:bCs/>
              </w:rPr>
            </w:pPr>
            <w:r w:rsidRPr="00BC4C68">
              <w:rPr>
                <w:rFonts w:ascii="Arial" w:hAnsi="Arial" w:cs="Arial"/>
                <w:bCs/>
              </w:rPr>
              <w:t>Number of complaints partially upheld</w:t>
            </w:r>
          </w:p>
        </w:tc>
        <w:tc>
          <w:tcPr>
            <w:tcW w:w="3312" w:type="dxa"/>
          </w:tcPr>
          <w:p w14:paraId="085F99DD" w14:textId="198E8399" w:rsidR="00E63A02" w:rsidRPr="00BC4C68" w:rsidRDefault="005E72B9" w:rsidP="005E0D00">
            <w:pPr>
              <w:spacing w:line="252" w:lineRule="auto"/>
              <w:rPr>
                <w:rFonts w:ascii="Arial" w:hAnsi="Arial" w:cs="Arial"/>
                <w:bCs/>
              </w:rPr>
            </w:pPr>
            <w:r>
              <w:rPr>
                <w:rFonts w:ascii="Arial" w:hAnsi="Arial" w:cs="Arial"/>
                <w:bCs/>
              </w:rPr>
              <w:t>29</w:t>
            </w:r>
          </w:p>
        </w:tc>
      </w:tr>
      <w:tr w:rsidR="00E63A02" w:rsidRPr="00BC4C68" w14:paraId="22FE8E18" w14:textId="77777777" w:rsidTr="005E0D00">
        <w:tc>
          <w:tcPr>
            <w:tcW w:w="5382" w:type="dxa"/>
          </w:tcPr>
          <w:p w14:paraId="148E8763" w14:textId="77777777" w:rsidR="00E63A02" w:rsidRPr="00BC4C68" w:rsidRDefault="00E63A02" w:rsidP="005E0D00">
            <w:pPr>
              <w:spacing w:line="252" w:lineRule="auto"/>
              <w:rPr>
                <w:rFonts w:ascii="Arial" w:hAnsi="Arial" w:cs="Arial"/>
                <w:bCs/>
              </w:rPr>
            </w:pPr>
            <w:r w:rsidRPr="00BC4C68">
              <w:rPr>
                <w:rFonts w:ascii="Arial" w:hAnsi="Arial" w:cs="Arial"/>
                <w:bCs/>
              </w:rPr>
              <w:t>Number of complaints not upheld</w:t>
            </w:r>
          </w:p>
        </w:tc>
        <w:tc>
          <w:tcPr>
            <w:tcW w:w="3312" w:type="dxa"/>
          </w:tcPr>
          <w:p w14:paraId="3AECA18E" w14:textId="0D4A4525" w:rsidR="00E63A02" w:rsidRPr="00BC4C68" w:rsidRDefault="00282BE6" w:rsidP="005E0D00">
            <w:pPr>
              <w:spacing w:line="252" w:lineRule="auto"/>
              <w:rPr>
                <w:rFonts w:ascii="Arial" w:hAnsi="Arial" w:cs="Arial"/>
                <w:bCs/>
              </w:rPr>
            </w:pPr>
            <w:r>
              <w:rPr>
                <w:rFonts w:ascii="Arial" w:hAnsi="Arial" w:cs="Arial"/>
                <w:bCs/>
              </w:rPr>
              <w:t>43</w:t>
            </w:r>
          </w:p>
        </w:tc>
      </w:tr>
    </w:tbl>
    <w:p w14:paraId="37123D4B" w14:textId="3544F8C0" w:rsidR="00E63A02" w:rsidRDefault="005E72B9" w:rsidP="00E63A02">
      <w:pPr>
        <w:rPr>
          <w:rFonts w:ascii="Arial" w:hAnsi="Arial" w:cs="Arial"/>
          <w:bCs/>
          <w:sz w:val="16"/>
          <w:szCs w:val="16"/>
        </w:rPr>
      </w:pPr>
      <w:r w:rsidRPr="005E72B9">
        <w:rPr>
          <w:rFonts w:ascii="Arial" w:hAnsi="Arial" w:cs="Arial"/>
          <w:bCs/>
          <w:sz w:val="16"/>
          <w:szCs w:val="16"/>
        </w:rPr>
        <w:t xml:space="preserve">*One complaint was </w:t>
      </w:r>
      <w:proofErr w:type="gramStart"/>
      <w:r w:rsidR="009D3B7B">
        <w:rPr>
          <w:rFonts w:ascii="Arial" w:hAnsi="Arial" w:cs="Arial"/>
          <w:bCs/>
          <w:sz w:val="16"/>
          <w:szCs w:val="16"/>
        </w:rPr>
        <w:t>withdrawn</w:t>
      </w:r>
      <w:proofErr w:type="gramEnd"/>
      <w:r w:rsidRPr="005E72B9">
        <w:rPr>
          <w:rFonts w:ascii="Arial" w:hAnsi="Arial" w:cs="Arial"/>
          <w:bCs/>
          <w:sz w:val="16"/>
          <w:szCs w:val="16"/>
        </w:rPr>
        <w:t xml:space="preserve"> and a decision couldn’t be made on another as it was an HR issue, the outcome of which couldn’t be shared.</w:t>
      </w:r>
    </w:p>
    <w:p w14:paraId="264E9CE7" w14:textId="77777777" w:rsidR="00DE36BB" w:rsidRPr="005E72B9" w:rsidRDefault="00DE36BB" w:rsidP="00E63A02">
      <w:pPr>
        <w:rPr>
          <w:rFonts w:ascii="Arial" w:hAnsi="Arial" w:cs="Arial"/>
          <w:bCs/>
          <w:sz w:val="16"/>
          <w:szCs w:val="16"/>
        </w:rPr>
      </w:pPr>
    </w:p>
    <w:tbl>
      <w:tblPr>
        <w:tblStyle w:val="TableGrid"/>
        <w:tblW w:w="0" w:type="auto"/>
        <w:tblLook w:val="04A0" w:firstRow="1" w:lastRow="0" w:firstColumn="1" w:lastColumn="0" w:noHBand="0" w:noVBand="1"/>
      </w:tblPr>
      <w:tblGrid>
        <w:gridCol w:w="5382"/>
        <w:gridCol w:w="3312"/>
      </w:tblGrid>
      <w:tr w:rsidR="00E63A02" w:rsidRPr="00BC4C68" w14:paraId="736DB24F" w14:textId="77777777" w:rsidTr="005E0D00">
        <w:tc>
          <w:tcPr>
            <w:tcW w:w="5382" w:type="dxa"/>
          </w:tcPr>
          <w:p w14:paraId="51C62F86" w14:textId="77777777" w:rsidR="00E63A02" w:rsidRPr="00BC4C68" w:rsidRDefault="00E63A02" w:rsidP="005E0D00">
            <w:pPr>
              <w:spacing w:line="252" w:lineRule="auto"/>
              <w:rPr>
                <w:rFonts w:ascii="Arial" w:hAnsi="Arial" w:cs="Arial"/>
                <w:bCs/>
              </w:rPr>
            </w:pPr>
            <w:r w:rsidRPr="00BC4C68">
              <w:rPr>
                <w:rFonts w:ascii="Arial" w:hAnsi="Arial" w:cs="Arial"/>
                <w:bCs/>
              </w:rPr>
              <w:t>Total number of stage 2 complaints closed</w:t>
            </w:r>
          </w:p>
        </w:tc>
        <w:tc>
          <w:tcPr>
            <w:tcW w:w="3312" w:type="dxa"/>
          </w:tcPr>
          <w:p w14:paraId="3B1A1A3F" w14:textId="17657B06" w:rsidR="00E63A02" w:rsidRPr="00BC4C68" w:rsidRDefault="00D33CFD" w:rsidP="005E0D00">
            <w:pPr>
              <w:spacing w:line="252" w:lineRule="auto"/>
              <w:rPr>
                <w:rFonts w:ascii="Arial" w:hAnsi="Arial" w:cs="Arial"/>
                <w:bCs/>
              </w:rPr>
            </w:pPr>
            <w:r w:rsidRPr="00BC4C68">
              <w:rPr>
                <w:rFonts w:ascii="Arial" w:hAnsi="Arial" w:cs="Arial"/>
                <w:bCs/>
              </w:rPr>
              <w:t>8</w:t>
            </w:r>
          </w:p>
        </w:tc>
      </w:tr>
      <w:tr w:rsidR="00E63A02" w:rsidRPr="00BC4C68" w14:paraId="4DA48EEB" w14:textId="77777777" w:rsidTr="005E0D00">
        <w:tc>
          <w:tcPr>
            <w:tcW w:w="5382" w:type="dxa"/>
          </w:tcPr>
          <w:p w14:paraId="525E6F38" w14:textId="77777777" w:rsidR="00E63A02" w:rsidRPr="00BC4C68" w:rsidRDefault="00E63A02" w:rsidP="005E0D00">
            <w:pPr>
              <w:spacing w:line="252" w:lineRule="auto"/>
              <w:rPr>
                <w:rFonts w:ascii="Arial" w:hAnsi="Arial" w:cs="Arial"/>
                <w:bCs/>
              </w:rPr>
            </w:pPr>
            <w:r w:rsidRPr="00BC4C68">
              <w:rPr>
                <w:rFonts w:ascii="Arial" w:hAnsi="Arial" w:cs="Arial"/>
                <w:bCs/>
              </w:rPr>
              <w:t>Number of complaints upheld</w:t>
            </w:r>
          </w:p>
        </w:tc>
        <w:tc>
          <w:tcPr>
            <w:tcW w:w="3312" w:type="dxa"/>
          </w:tcPr>
          <w:p w14:paraId="0BDD8E30" w14:textId="2B2D4D4D" w:rsidR="00E63A02" w:rsidRPr="00BC4C68" w:rsidRDefault="00D33CFD" w:rsidP="005E0D00">
            <w:pPr>
              <w:spacing w:line="252" w:lineRule="auto"/>
              <w:rPr>
                <w:rFonts w:ascii="Arial" w:hAnsi="Arial" w:cs="Arial"/>
                <w:bCs/>
              </w:rPr>
            </w:pPr>
            <w:r w:rsidRPr="00BC4C68">
              <w:rPr>
                <w:rFonts w:ascii="Arial" w:hAnsi="Arial" w:cs="Arial"/>
                <w:bCs/>
              </w:rPr>
              <w:t>1</w:t>
            </w:r>
          </w:p>
        </w:tc>
      </w:tr>
      <w:tr w:rsidR="00E63A02" w:rsidRPr="00BC4C68" w14:paraId="11E01850" w14:textId="77777777" w:rsidTr="005E0D00">
        <w:tc>
          <w:tcPr>
            <w:tcW w:w="5382" w:type="dxa"/>
          </w:tcPr>
          <w:p w14:paraId="3D0BB226" w14:textId="77777777" w:rsidR="00E63A02" w:rsidRPr="00BC4C68" w:rsidRDefault="00E63A02" w:rsidP="005E0D00">
            <w:pPr>
              <w:spacing w:line="252" w:lineRule="auto"/>
              <w:rPr>
                <w:rFonts w:ascii="Arial" w:hAnsi="Arial" w:cs="Arial"/>
                <w:bCs/>
              </w:rPr>
            </w:pPr>
            <w:r w:rsidRPr="00BC4C68">
              <w:rPr>
                <w:rFonts w:ascii="Arial" w:hAnsi="Arial" w:cs="Arial"/>
                <w:bCs/>
              </w:rPr>
              <w:t>Number of complaints partially upheld</w:t>
            </w:r>
          </w:p>
        </w:tc>
        <w:tc>
          <w:tcPr>
            <w:tcW w:w="3312" w:type="dxa"/>
          </w:tcPr>
          <w:p w14:paraId="04BE4169" w14:textId="03FB5EB0" w:rsidR="00E63A02" w:rsidRPr="00BC4C68" w:rsidRDefault="00D33CFD" w:rsidP="005E0D00">
            <w:pPr>
              <w:spacing w:line="252" w:lineRule="auto"/>
              <w:rPr>
                <w:rFonts w:ascii="Arial" w:hAnsi="Arial" w:cs="Arial"/>
                <w:bCs/>
              </w:rPr>
            </w:pPr>
            <w:r w:rsidRPr="00BC4C68">
              <w:rPr>
                <w:rFonts w:ascii="Arial" w:hAnsi="Arial" w:cs="Arial"/>
                <w:bCs/>
              </w:rPr>
              <w:t>0</w:t>
            </w:r>
          </w:p>
        </w:tc>
      </w:tr>
      <w:tr w:rsidR="00E63A02" w:rsidRPr="00BC4C68" w14:paraId="16F79257" w14:textId="77777777" w:rsidTr="005E0D00">
        <w:tc>
          <w:tcPr>
            <w:tcW w:w="5382" w:type="dxa"/>
          </w:tcPr>
          <w:p w14:paraId="5D116D42" w14:textId="77777777" w:rsidR="00E63A02" w:rsidRPr="00BC4C68" w:rsidRDefault="00E63A02" w:rsidP="005E0D00">
            <w:pPr>
              <w:spacing w:line="252" w:lineRule="auto"/>
              <w:rPr>
                <w:rFonts w:ascii="Arial" w:hAnsi="Arial" w:cs="Arial"/>
                <w:bCs/>
              </w:rPr>
            </w:pPr>
            <w:r w:rsidRPr="00BC4C68">
              <w:rPr>
                <w:rFonts w:ascii="Arial" w:hAnsi="Arial" w:cs="Arial"/>
                <w:bCs/>
              </w:rPr>
              <w:t>Number of complaints not upheld</w:t>
            </w:r>
          </w:p>
        </w:tc>
        <w:tc>
          <w:tcPr>
            <w:tcW w:w="3312" w:type="dxa"/>
          </w:tcPr>
          <w:p w14:paraId="00995FA9" w14:textId="5D6C4600" w:rsidR="00E63A02" w:rsidRPr="00BC4C68" w:rsidRDefault="00D33CFD" w:rsidP="005E0D00">
            <w:pPr>
              <w:spacing w:line="252" w:lineRule="auto"/>
              <w:rPr>
                <w:rFonts w:ascii="Arial" w:hAnsi="Arial" w:cs="Arial"/>
                <w:bCs/>
              </w:rPr>
            </w:pPr>
            <w:r w:rsidRPr="00BC4C68">
              <w:rPr>
                <w:rFonts w:ascii="Arial" w:hAnsi="Arial" w:cs="Arial"/>
                <w:bCs/>
              </w:rPr>
              <w:t>7</w:t>
            </w:r>
          </w:p>
        </w:tc>
      </w:tr>
    </w:tbl>
    <w:p w14:paraId="32B5D312" w14:textId="77777777" w:rsidR="00E63A02" w:rsidRPr="00BC4C68" w:rsidRDefault="00E63A02" w:rsidP="00E63A02"/>
    <w:p w14:paraId="03C5E7FD" w14:textId="77777777" w:rsidR="004E319A" w:rsidRPr="00DE36BB" w:rsidRDefault="004E319A" w:rsidP="004E319A">
      <w:pPr>
        <w:rPr>
          <w:rFonts w:ascii="Arial" w:hAnsi="Arial" w:cs="Arial"/>
          <w:b/>
          <w:bCs/>
          <w:i/>
          <w:iCs/>
        </w:rPr>
      </w:pPr>
      <w:bookmarkStart w:id="0" w:name="_Hlk197340689"/>
      <w:r w:rsidRPr="00DE36BB">
        <w:rPr>
          <w:rFonts w:ascii="Arial" w:hAnsi="Arial" w:cs="Arial"/>
          <w:b/>
          <w:bCs/>
          <w:i/>
          <w:iCs/>
        </w:rPr>
        <w:t>SEA Complaints</w:t>
      </w:r>
    </w:p>
    <w:p w14:paraId="5A617A73" w14:textId="52221CE5" w:rsidR="004E319A" w:rsidRPr="00BC4C68" w:rsidRDefault="00282BE6" w:rsidP="004E319A">
      <w:pPr>
        <w:rPr>
          <w:rFonts w:ascii="Arial" w:hAnsi="Arial" w:cs="Arial"/>
        </w:rPr>
      </w:pPr>
      <w:r w:rsidRPr="00282BE6">
        <w:rPr>
          <w:rFonts w:ascii="Arial" w:hAnsi="Arial" w:cs="Arial"/>
        </w:rPr>
        <w:t>Out of the 12</w:t>
      </w:r>
      <w:r w:rsidR="005E72B9">
        <w:rPr>
          <w:rFonts w:ascii="Arial" w:hAnsi="Arial" w:cs="Arial"/>
        </w:rPr>
        <w:t>0</w:t>
      </w:r>
      <w:r w:rsidRPr="00282BE6">
        <w:rPr>
          <w:rFonts w:ascii="Arial" w:hAnsi="Arial" w:cs="Arial"/>
        </w:rPr>
        <w:t xml:space="preserve"> stage 1 and stage 2 complaints received, 24 (</w:t>
      </w:r>
      <w:r w:rsidR="005E72B9">
        <w:rPr>
          <w:rFonts w:ascii="Arial" w:hAnsi="Arial" w:cs="Arial"/>
        </w:rPr>
        <w:t>20</w:t>
      </w:r>
      <w:r w:rsidRPr="00282BE6">
        <w:rPr>
          <w:rFonts w:ascii="Arial" w:hAnsi="Arial" w:cs="Arial"/>
        </w:rPr>
        <w:t>%) came via SEA.</w:t>
      </w:r>
    </w:p>
    <w:bookmarkEnd w:id="0"/>
    <w:p w14:paraId="187C25AC" w14:textId="77777777" w:rsidR="00E63A02" w:rsidRPr="00BC4C68" w:rsidRDefault="00E63A02" w:rsidP="00E63A02">
      <w:pPr>
        <w:jc w:val="both"/>
        <w:rPr>
          <w:rFonts w:ascii="Arial" w:hAnsi="Arial" w:cs="Arial"/>
        </w:rPr>
      </w:pPr>
    </w:p>
    <w:p w14:paraId="6DBDFBF7" w14:textId="77777777" w:rsidR="00E63A02" w:rsidRPr="00DE36BB" w:rsidRDefault="00E63A02" w:rsidP="00E63A02">
      <w:pPr>
        <w:jc w:val="both"/>
        <w:rPr>
          <w:rFonts w:ascii="Arial" w:hAnsi="Arial" w:cs="Arial"/>
          <w:b/>
          <w:bCs/>
          <w:i/>
          <w:iCs/>
        </w:rPr>
      </w:pPr>
      <w:r w:rsidRPr="00DE36BB">
        <w:rPr>
          <w:rFonts w:ascii="Arial" w:hAnsi="Arial" w:cs="Arial"/>
          <w:b/>
          <w:bCs/>
          <w:i/>
          <w:iCs/>
        </w:rPr>
        <w:t>Response timescale adherence</w:t>
      </w:r>
    </w:p>
    <w:p w14:paraId="2C7833AF" w14:textId="03228602" w:rsidR="00E63A02" w:rsidRPr="00BC4C68" w:rsidRDefault="00F75C53" w:rsidP="00E63A02">
      <w:pPr>
        <w:jc w:val="both"/>
        <w:rPr>
          <w:rFonts w:ascii="Arial" w:hAnsi="Arial" w:cs="Arial"/>
        </w:rPr>
      </w:pPr>
      <w:r w:rsidRPr="00BC4C68">
        <w:rPr>
          <w:rFonts w:ascii="Arial" w:hAnsi="Arial" w:cs="Arial"/>
        </w:rPr>
        <w:t>All stage 2 complaints were acknowledged and responded to within the prescribed timescales.</w:t>
      </w:r>
      <w:r w:rsidR="00E63A02" w:rsidRPr="00BC4C68">
        <w:rPr>
          <w:rFonts w:ascii="Arial" w:hAnsi="Arial" w:cs="Arial"/>
        </w:rPr>
        <w:t xml:space="preserve">  All but </w:t>
      </w:r>
      <w:bookmarkStart w:id="1" w:name="_Hlk190288921"/>
      <w:r w:rsidR="00E63A02" w:rsidRPr="00BC4C68">
        <w:rPr>
          <w:rFonts w:ascii="Arial" w:hAnsi="Arial" w:cs="Arial"/>
        </w:rPr>
        <w:t xml:space="preserve">two of the stage 1 complaints were acknowledged within 5 working days.  The two that were outside of the </w:t>
      </w:r>
      <w:proofErr w:type="gramStart"/>
      <w:r w:rsidR="00E63A02" w:rsidRPr="00BC4C68">
        <w:rPr>
          <w:rFonts w:ascii="Arial" w:hAnsi="Arial" w:cs="Arial"/>
        </w:rPr>
        <w:t>5 day</w:t>
      </w:r>
      <w:proofErr w:type="gramEnd"/>
      <w:r w:rsidR="00E63A02" w:rsidRPr="00BC4C68">
        <w:rPr>
          <w:rFonts w:ascii="Arial" w:hAnsi="Arial" w:cs="Arial"/>
        </w:rPr>
        <w:t xml:space="preserve"> timescale were acknowledged 1 and 2 days late. </w:t>
      </w:r>
      <w:r w:rsidRPr="00BC4C68">
        <w:rPr>
          <w:rFonts w:ascii="Arial" w:hAnsi="Arial" w:cs="Arial"/>
        </w:rPr>
        <w:t>Two</w:t>
      </w:r>
      <w:r w:rsidR="00E63A02" w:rsidRPr="00BC4C68">
        <w:rPr>
          <w:rFonts w:ascii="Arial" w:hAnsi="Arial" w:cs="Arial"/>
        </w:rPr>
        <w:t xml:space="preserve"> stage 1 complaint</w:t>
      </w:r>
      <w:r w:rsidRPr="00BC4C68">
        <w:rPr>
          <w:rFonts w:ascii="Arial" w:hAnsi="Arial" w:cs="Arial"/>
        </w:rPr>
        <w:t xml:space="preserve"> responses were late by 1 and 3 days.</w:t>
      </w:r>
      <w:bookmarkEnd w:id="1"/>
      <w:r w:rsidR="00E63A02" w:rsidRPr="00BC4C68">
        <w:rPr>
          <w:rFonts w:ascii="Arial" w:hAnsi="Arial" w:cs="Arial"/>
        </w:rPr>
        <w:t xml:space="preserve">  The delays are d</w:t>
      </w:r>
      <w:r w:rsidRPr="00BC4C68">
        <w:rPr>
          <w:rFonts w:ascii="Arial" w:hAnsi="Arial" w:cs="Arial"/>
        </w:rPr>
        <w:t>ue</w:t>
      </w:r>
      <w:r w:rsidR="00E63A02" w:rsidRPr="00BC4C68">
        <w:rPr>
          <w:rFonts w:ascii="Arial" w:hAnsi="Arial" w:cs="Arial"/>
        </w:rPr>
        <w:t xml:space="preserve"> to workload; this has been acknowledged, and we will be recruiting to a Customer Satisfaction Officer role to ensure the workload is manageable.</w:t>
      </w:r>
    </w:p>
    <w:p w14:paraId="6C321800" w14:textId="77777777" w:rsidR="009D3B7B" w:rsidRPr="00BC4C68" w:rsidRDefault="009D3B7B" w:rsidP="00E63A02">
      <w:pPr>
        <w:jc w:val="both"/>
      </w:pPr>
    </w:p>
    <w:p w14:paraId="77E3004D" w14:textId="77777777" w:rsidR="00E63A02" w:rsidRPr="00E24F77" w:rsidRDefault="00E63A02" w:rsidP="00E63A02">
      <w:pPr>
        <w:jc w:val="both"/>
        <w:rPr>
          <w:rFonts w:ascii="Arial" w:hAnsi="Arial" w:cs="Arial"/>
          <w:b/>
          <w:bCs/>
          <w:i/>
          <w:iCs/>
        </w:rPr>
      </w:pPr>
      <w:r w:rsidRPr="00E24F77">
        <w:rPr>
          <w:rFonts w:ascii="Arial" w:hAnsi="Arial" w:cs="Arial"/>
          <w:b/>
          <w:bCs/>
          <w:i/>
          <w:iCs/>
        </w:rPr>
        <w:t>Refusals</w:t>
      </w:r>
    </w:p>
    <w:p w14:paraId="5A8F7E2F" w14:textId="195F8241" w:rsidR="00E63A02" w:rsidRPr="00BC4C68" w:rsidRDefault="00F75C53" w:rsidP="00E63A02">
      <w:pPr>
        <w:jc w:val="both"/>
        <w:rPr>
          <w:rFonts w:ascii="Arial" w:hAnsi="Arial" w:cs="Arial"/>
        </w:rPr>
      </w:pPr>
      <w:r w:rsidRPr="00BC4C68">
        <w:rPr>
          <w:rFonts w:ascii="Arial" w:hAnsi="Arial" w:cs="Arial"/>
        </w:rPr>
        <w:t>Seventeen</w:t>
      </w:r>
      <w:r w:rsidR="00D33CFD" w:rsidRPr="00BC4C68">
        <w:rPr>
          <w:rFonts w:ascii="Arial" w:hAnsi="Arial" w:cs="Arial"/>
        </w:rPr>
        <w:t xml:space="preserve"> complaints were refused. </w:t>
      </w:r>
      <w:r w:rsidRPr="00BC4C68">
        <w:rPr>
          <w:rFonts w:ascii="Arial" w:hAnsi="Arial" w:cs="Arial"/>
        </w:rPr>
        <w:t>Fourteen</w:t>
      </w:r>
      <w:r w:rsidR="00D33CFD" w:rsidRPr="00BC4C68">
        <w:rPr>
          <w:rFonts w:ascii="Arial" w:hAnsi="Arial" w:cs="Arial"/>
        </w:rPr>
        <w:t xml:space="preserve"> of these were because they were wrongly reported and were Anti-Social Behaviour (ASB) reports.  These were dealt with through that process.  There were </w:t>
      </w:r>
      <w:r w:rsidRPr="00BC4C68">
        <w:rPr>
          <w:rFonts w:ascii="Arial" w:hAnsi="Arial" w:cs="Arial"/>
        </w:rPr>
        <w:t>three</w:t>
      </w:r>
      <w:r w:rsidR="00D33CFD" w:rsidRPr="00BC4C68">
        <w:rPr>
          <w:rFonts w:ascii="Arial" w:hAnsi="Arial" w:cs="Arial"/>
        </w:rPr>
        <w:t xml:space="preserve"> other refusals; </w:t>
      </w:r>
      <w:r w:rsidRPr="00BC4C68">
        <w:rPr>
          <w:rFonts w:ascii="Arial" w:hAnsi="Arial" w:cs="Arial"/>
        </w:rPr>
        <w:t>one</w:t>
      </w:r>
      <w:r w:rsidR="00D33CFD" w:rsidRPr="00BC4C68">
        <w:rPr>
          <w:rFonts w:ascii="Arial" w:hAnsi="Arial" w:cs="Arial"/>
        </w:rPr>
        <w:t xml:space="preserve"> because the complaint related to something more than 12 months ago, the second was a disrepair claim and was picked up separately and the final one was refused as consent wasn’t given for a representative to deal with the </w:t>
      </w:r>
      <w:r w:rsidRPr="00BC4C68">
        <w:rPr>
          <w:rFonts w:ascii="Arial" w:hAnsi="Arial" w:cs="Arial"/>
        </w:rPr>
        <w:t>complaint</w:t>
      </w:r>
      <w:r w:rsidR="00D33CFD" w:rsidRPr="00BC4C68">
        <w:rPr>
          <w:rFonts w:ascii="Arial" w:hAnsi="Arial" w:cs="Arial"/>
        </w:rPr>
        <w:t>.</w:t>
      </w:r>
      <w:r w:rsidR="00E63A02" w:rsidRPr="00BC4C68">
        <w:rPr>
          <w:rFonts w:ascii="Arial" w:hAnsi="Arial" w:cs="Arial"/>
        </w:rPr>
        <w:t xml:space="preserve"> </w:t>
      </w:r>
    </w:p>
    <w:p w14:paraId="4DE8C6C9" w14:textId="77777777" w:rsidR="00E63A02" w:rsidRPr="00BC4C68" w:rsidRDefault="00E63A02" w:rsidP="00E63A02">
      <w:pPr>
        <w:jc w:val="both"/>
      </w:pPr>
      <w:r w:rsidRPr="00BC4C68">
        <w:lastRenderedPageBreak/>
        <w:t xml:space="preserve"> </w:t>
      </w:r>
    </w:p>
    <w:p w14:paraId="761EF491" w14:textId="77777777" w:rsidR="00E63A02" w:rsidRPr="00E24F77" w:rsidRDefault="00E63A02" w:rsidP="00E63A02">
      <w:pPr>
        <w:jc w:val="both"/>
        <w:rPr>
          <w:rFonts w:ascii="Arial" w:hAnsi="Arial" w:cs="Arial"/>
          <w:b/>
          <w:bCs/>
          <w:i/>
          <w:iCs/>
        </w:rPr>
      </w:pPr>
      <w:r w:rsidRPr="00E24F77">
        <w:rPr>
          <w:rFonts w:ascii="Arial" w:hAnsi="Arial" w:cs="Arial"/>
          <w:b/>
          <w:bCs/>
          <w:i/>
          <w:iCs/>
        </w:rPr>
        <w:t>Extensions</w:t>
      </w:r>
    </w:p>
    <w:p w14:paraId="1C995FEE" w14:textId="6A607881" w:rsidR="00E63A02" w:rsidRPr="00BC4C68" w:rsidRDefault="00F75C53" w:rsidP="00E63A02">
      <w:pPr>
        <w:jc w:val="both"/>
        <w:rPr>
          <w:rFonts w:ascii="Arial" w:hAnsi="Arial" w:cs="Arial"/>
        </w:rPr>
      </w:pPr>
      <w:r w:rsidRPr="00BC4C68">
        <w:rPr>
          <w:rFonts w:ascii="Arial" w:hAnsi="Arial" w:cs="Arial"/>
        </w:rPr>
        <w:t>Eighteen</w:t>
      </w:r>
      <w:r w:rsidR="00D33CFD" w:rsidRPr="00BC4C68">
        <w:rPr>
          <w:rFonts w:ascii="Arial" w:hAnsi="Arial" w:cs="Arial"/>
        </w:rPr>
        <w:t xml:space="preserve"> stage 1 complaint</w:t>
      </w:r>
      <w:r w:rsidR="002927C5" w:rsidRPr="00BC4C68">
        <w:rPr>
          <w:rFonts w:ascii="Arial" w:hAnsi="Arial" w:cs="Arial"/>
        </w:rPr>
        <w:t xml:space="preserve"> response timescales</w:t>
      </w:r>
      <w:r w:rsidR="00D33CFD" w:rsidRPr="00BC4C68">
        <w:rPr>
          <w:rFonts w:ascii="Arial" w:hAnsi="Arial" w:cs="Arial"/>
        </w:rPr>
        <w:t xml:space="preserve"> were extended.  The main reason for extending the timescale is due to the </w:t>
      </w:r>
      <w:r w:rsidR="00E63A02" w:rsidRPr="00BC4C68">
        <w:rPr>
          <w:rFonts w:ascii="Arial" w:hAnsi="Arial" w:cs="Arial"/>
        </w:rPr>
        <w:t xml:space="preserve">Customer Satisfaction Manager </w:t>
      </w:r>
      <w:r w:rsidR="00D33CFD" w:rsidRPr="00BC4C68">
        <w:rPr>
          <w:rFonts w:ascii="Arial" w:hAnsi="Arial" w:cs="Arial"/>
        </w:rPr>
        <w:t xml:space="preserve">taking leave </w:t>
      </w:r>
      <w:r w:rsidRPr="00BC4C68">
        <w:rPr>
          <w:rFonts w:ascii="Arial" w:hAnsi="Arial" w:cs="Arial"/>
        </w:rPr>
        <w:t>and there being limited resources to cover the work.  Recruitment to the new Customer Satisfaction Officer is imminent which will ensure we can adhere more closely to the timescales without having to extend the</w:t>
      </w:r>
      <w:r w:rsidR="002927C5" w:rsidRPr="00BC4C68">
        <w:rPr>
          <w:rFonts w:ascii="Arial" w:hAnsi="Arial" w:cs="Arial"/>
        </w:rPr>
        <w:t>m</w:t>
      </w:r>
      <w:r w:rsidRPr="00BC4C68">
        <w:rPr>
          <w:rFonts w:ascii="Arial" w:hAnsi="Arial" w:cs="Arial"/>
        </w:rPr>
        <w:t>.</w:t>
      </w:r>
    </w:p>
    <w:p w14:paraId="4301EDAD" w14:textId="77777777" w:rsidR="00E63A02" w:rsidRPr="00BC4C68" w:rsidRDefault="00E63A02" w:rsidP="00E63A02">
      <w:pPr>
        <w:jc w:val="both"/>
        <w:rPr>
          <w:rFonts w:ascii="Arial" w:hAnsi="Arial" w:cs="Arial"/>
        </w:rPr>
      </w:pPr>
    </w:p>
    <w:p w14:paraId="3C07D2E0" w14:textId="77777777" w:rsidR="00E63A02" w:rsidRPr="00E24F77" w:rsidRDefault="00E63A02" w:rsidP="00E63A02">
      <w:pPr>
        <w:jc w:val="both"/>
        <w:rPr>
          <w:rFonts w:ascii="Arial" w:hAnsi="Arial" w:cs="Arial"/>
          <w:b/>
          <w:bCs/>
          <w:i/>
          <w:iCs/>
        </w:rPr>
      </w:pPr>
      <w:r w:rsidRPr="00E24F77">
        <w:rPr>
          <w:rFonts w:ascii="Arial" w:hAnsi="Arial" w:cs="Arial"/>
          <w:b/>
          <w:bCs/>
          <w:i/>
          <w:iCs/>
        </w:rPr>
        <w:t>Types of complaint</w:t>
      </w:r>
    </w:p>
    <w:p w14:paraId="1331AABA" w14:textId="6F400483" w:rsidR="00E63A02" w:rsidRPr="00BC4C68" w:rsidRDefault="002927C5" w:rsidP="00E63A02">
      <w:pPr>
        <w:spacing w:after="160" w:line="259" w:lineRule="auto"/>
        <w:jc w:val="both"/>
        <w:rPr>
          <w:rFonts w:ascii="Arial" w:hAnsi="Arial" w:cs="Arial"/>
        </w:rPr>
      </w:pPr>
      <w:r w:rsidRPr="00BC4C68">
        <w:rPr>
          <w:rFonts w:ascii="Arial" w:hAnsi="Arial" w:cs="Arial"/>
        </w:rPr>
        <w:t>Some complaints include more than one issue which is reflected in the figures</w:t>
      </w:r>
      <w:r w:rsidR="00E63A02" w:rsidRPr="00BC4C68">
        <w:rPr>
          <w:rFonts w:ascii="Arial" w:hAnsi="Arial" w:cs="Arial"/>
        </w:rPr>
        <w:t>.</w:t>
      </w:r>
    </w:p>
    <w:tbl>
      <w:tblPr>
        <w:tblStyle w:val="TableGrid"/>
        <w:tblW w:w="0" w:type="auto"/>
        <w:tblLook w:val="04A0" w:firstRow="1" w:lastRow="0" w:firstColumn="1" w:lastColumn="0" w:noHBand="0" w:noVBand="1"/>
      </w:tblPr>
      <w:tblGrid>
        <w:gridCol w:w="3964"/>
        <w:gridCol w:w="1123"/>
        <w:gridCol w:w="4111"/>
      </w:tblGrid>
      <w:tr w:rsidR="00E63A02" w:rsidRPr="00BC4C68" w14:paraId="163F79D0" w14:textId="77777777" w:rsidTr="002927C5">
        <w:tc>
          <w:tcPr>
            <w:tcW w:w="3964" w:type="dxa"/>
          </w:tcPr>
          <w:p w14:paraId="736F62C1" w14:textId="77777777" w:rsidR="00E63A02" w:rsidRPr="00BC4C68" w:rsidRDefault="00E63A02" w:rsidP="005E0D00">
            <w:pPr>
              <w:spacing w:after="160" w:line="259" w:lineRule="auto"/>
              <w:rPr>
                <w:rFonts w:ascii="Arial" w:hAnsi="Arial" w:cs="Arial"/>
                <w:b/>
                <w:bCs/>
              </w:rPr>
            </w:pPr>
            <w:r w:rsidRPr="00BC4C68">
              <w:rPr>
                <w:rFonts w:ascii="Arial" w:hAnsi="Arial" w:cs="Arial"/>
                <w:b/>
                <w:bCs/>
              </w:rPr>
              <w:t>Complaint type</w:t>
            </w:r>
          </w:p>
        </w:tc>
        <w:tc>
          <w:tcPr>
            <w:tcW w:w="1123" w:type="dxa"/>
          </w:tcPr>
          <w:p w14:paraId="132C875E" w14:textId="77777777" w:rsidR="00E63A02" w:rsidRPr="00BC4C68" w:rsidRDefault="00E63A02" w:rsidP="005E0D00">
            <w:pPr>
              <w:spacing w:after="160" w:line="259" w:lineRule="auto"/>
              <w:rPr>
                <w:rFonts w:ascii="Arial" w:hAnsi="Arial" w:cs="Arial"/>
                <w:b/>
                <w:bCs/>
              </w:rPr>
            </w:pPr>
            <w:r w:rsidRPr="00BC4C68">
              <w:rPr>
                <w:rFonts w:ascii="Arial" w:hAnsi="Arial" w:cs="Arial"/>
                <w:b/>
                <w:bCs/>
              </w:rPr>
              <w:t>Number</w:t>
            </w:r>
          </w:p>
        </w:tc>
        <w:tc>
          <w:tcPr>
            <w:tcW w:w="4111" w:type="dxa"/>
          </w:tcPr>
          <w:p w14:paraId="2E51E15D" w14:textId="77777777" w:rsidR="00E63A02" w:rsidRPr="00BC4C68" w:rsidRDefault="00E63A02" w:rsidP="005E0D00">
            <w:pPr>
              <w:spacing w:after="160" w:line="259" w:lineRule="auto"/>
              <w:rPr>
                <w:rFonts w:ascii="Arial" w:hAnsi="Arial" w:cs="Arial"/>
                <w:b/>
                <w:bCs/>
              </w:rPr>
            </w:pPr>
            <w:r w:rsidRPr="00BC4C68">
              <w:rPr>
                <w:rFonts w:ascii="Arial" w:hAnsi="Arial" w:cs="Arial"/>
                <w:b/>
                <w:bCs/>
              </w:rPr>
              <w:t>Number upheld</w:t>
            </w:r>
          </w:p>
        </w:tc>
      </w:tr>
      <w:tr w:rsidR="00E63A02" w:rsidRPr="00BC4C68" w14:paraId="0FEBBB3A" w14:textId="77777777" w:rsidTr="002927C5">
        <w:tc>
          <w:tcPr>
            <w:tcW w:w="3964" w:type="dxa"/>
          </w:tcPr>
          <w:p w14:paraId="1C30EFEA" w14:textId="77777777" w:rsidR="00E63A02" w:rsidRPr="00BC4C68" w:rsidRDefault="00E63A02" w:rsidP="005E0D00">
            <w:pPr>
              <w:spacing w:after="160" w:line="259" w:lineRule="auto"/>
              <w:rPr>
                <w:rFonts w:ascii="Arial" w:hAnsi="Arial" w:cs="Arial"/>
              </w:rPr>
            </w:pPr>
            <w:r w:rsidRPr="00BC4C68">
              <w:rPr>
                <w:rFonts w:ascii="Arial" w:hAnsi="Arial" w:cs="Arial"/>
              </w:rPr>
              <w:t>Staff behaviour</w:t>
            </w:r>
          </w:p>
        </w:tc>
        <w:tc>
          <w:tcPr>
            <w:tcW w:w="1123" w:type="dxa"/>
          </w:tcPr>
          <w:p w14:paraId="1C70A533" w14:textId="62B34611" w:rsidR="00E63A02" w:rsidRPr="00BC4C68" w:rsidRDefault="00E63A02" w:rsidP="005E0D00">
            <w:pPr>
              <w:spacing w:after="160" w:line="259" w:lineRule="auto"/>
              <w:rPr>
                <w:rFonts w:ascii="Arial" w:hAnsi="Arial" w:cs="Arial"/>
              </w:rPr>
            </w:pPr>
            <w:r w:rsidRPr="00BC4C68">
              <w:rPr>
                <w:rFonts w:ascii="Arial" w:hAnsi="Arial" w:cs="Arial"/>
              </w:rPr>
              <w:t>5</w:t>
            </w:r>
            <w:r w:rsidR="002927C5" w:rsidRPr="00BC4C68">
              <w:rPr>
                <w:rFonts w:ascii="Arial" w:hAnsi="Arial" w:cs="Arial"/>
              </w:rPr>
              <w:t>0</w:t>
            </w:r>
          </w:p>
        </w:tc>
        <w:tc>
          <w:tcPr>
            <w:tcW w:w="4111" w:type="dxa"/>
          </w:tcPr>
          <w:p w14:paraId="287E4A0E" w14:textId="638D4204" w:rsidR="00E63A02" w:rsidRPr="00BC4C68" w:rsidRDefault="00935C16" w:rsidP="005E0D00">
            <w:pPr>
              <w:spacing w:after="160" w:line="259" w:lineRule="auto"/>
              <w:rPr>
                <w:rFonts w:ascii="Arial" w:hAnsi="Arial" w:cs="Arial"/>
              </w:rPr>
            </w:pPr>
            <w:r w:rsidRPr="00BC4C68">
              <w:rPr>
                <w:rFonts w:ascii="Arial" w:hAnsi="Arial" w:cs="Arial"/>
              </w:rPr>
              <w:t>6 upheld, 3 partially upheld</w:t>
            </w:r>
          </w:p>
        </w:tc>
      </w:tr>
      <w:tr w:rsidR="002927C5" w:rsidRPr="00BC4C68" w14:paraId="6D27EF9E" w14:textId="77777777" w:rsidTr="002927C5">
        <w:tc>
          <w:tcPr>
            <w:tcW w:w="3964" w:type="dxa"/>
          </w:tcPr>
          <w:p w14:paraId="617A6620" w14:textId="4BECE168" w:rsidR="002927C5" w:rsidRPr="00BC4C68" w:rsidRDefault="002927C5" w:rsidP="002927C5">
            <w:pPr>
              <w:spacing w:after="160" w:line="259" w:lineRule="auto"/>
              <w:rPr>
                <w:rFonts w:ascii="Arial" w:hAnsi="Arial" w:cs="Arial"/>
              </w:rPr>
            </w:pPr>
            <w:r w:rsidRPr="00BC4C68">
              <w:rPr>
                <w:rFonts w:ascii="Arial" w:hAnsi="Arial" w:cs="Arial"/>
              </w:rPr>
              <w:t>Policy and procedure</w:t>
            </w:r>
          </w:p>
        </w:tc>
        <w:tc>
          <w:tcPr>
            <w:tcW w:w="1123" w:type="dxa"/>
          </w:tcPr>
          <w:p w14:paraId="2FACD376" w14:textId="59902042" w:rsidR="002927C5" w:rsidRPr="00BC4C68" w:rsidRDefault="002927C5" w:rsidP="002927C5">
            <w:pPr>
              <w:spacing w:after="160" w:line="259" w:lineRule="auto"/>
              <w:rPr>
                <w:rFonts w:ascii="Arial" w:hAnsi="Arial" w:cs="Arial"/>
              </w:rPr>
            </w:pPr>
            <w:r w:rsidRPr="00BC4C68">
              <w:rPr>
                <w:rFonts w:ascii="Arial" w:hAnsi="Arial" w:cs="Arial"/>
              </w:rPr>
              <w:t>35</w:t>
            </w:r>
          </w:p>
        </w:tc>
        <w:tc>
          <w:tcPr>
            <w:tcW w:w="4111" w:type="dxa"/>
          </w:tcPr>
          <w:p w14:paraId="143916AF" w14:textId="0C89D621" w:rsidR="002927C5" w:rsidRPr="00BC4C68" w:rsidRDefault="00935C16" w:rsidP="002927C5">
            <w:pPr>
              <w:spacing w:after="160" w:line="259" w:lineRule="auto"/>
              <w:rPr>
                <w:rFonts w:ascii="Arial" w:hAnsi="Arial" w:cs="Arial"/>
              </w:rPr>
            </w:pPr>
            <w:r w:rsidRPr="00BC4C68">
              <w:rPr>
                <w:rFonts w:ascii="Arial" w:hAnsi="Arial" w:cs="Arial"/>
              </w:rPr>
              <w:t>1 upheld, 4 partially upheld</w:t>
            </w:r>
          </w:p>
        </w:tc>
      </w:tr>
      <w:tr w:rsidR="002927C5" w:rsidRPr="00BC4C68" w14:paraId="338D3EB9" w14:textId="77777777" w:rsidTr="002927C5">
        <w:tc>
          <w:tcPr>
            <w:tcW w:w="3964" w:type="dxa"/>
          </w:tcPr>
          <w:p w14:paraId="7A28B9FE" w14:textId="2D55BF27" w:rsidR="002927C5" w:rsidRPr="00BC4C68" w:rsidRDefault="002927C5" w:rsidP="002927C5">
            <w:pPr>
              <w:spacing w:after="160" w:line="259" w:lineRule="auto"/>
              <w:rPr>
                <w:rFonts w:ascii="Arial" w:hAnsi="Arial" w:cs="Arial"/>
              </w:rPr>
            </w:pPr>
            <w:r w:rsidRPr="00BC4C68">
              <w:rPr>
                <w:rFonts w:ascii="Arial" w:hAnsi="Arial" w:cs="Arial"/>
              </w:rPr>
              <w:t>Repairs and maintenance</w:t>
            </w:r>
          </w:p>
        </w:tc>
        <w:tc>
          <w:tcPr>
            <w:tcW w:w="1123" w:type="dxa"/>
          </w:tcPr>
          <w:p w14:paraId="077448C7" w14:textId="4D92FED4" w:rsidR="002927C5" w:rsidRPr="00BC4C68" w:rsidRDefault="002927C5" w:rsidP="002927C5">
            <w:pPr>
              <w:spacing w:after="160" w:line="259" w:lineRule="auto"/>
              <w:rPr>
                <w:rFonts w:ascii="Arial" w:hAnsi="Arial" w:cs="Arial"/>
              </w:rPr>
            </w:pPr>
            <w:r w:rsidRPr="00BC4C68">
              <w:rPr>
                <w:rFonts w:ascii="Arial" w:hAnsi="Arial" w:cs="Arial"/>
              </w:rPr>
              <w:t>31</w:t>
            </w:r>
          </w:p>
        </w:tc>
        <w:tc>
          <w:tcPr>
            <w:tcW w:w="4111" w:type="dxa"/>
          </w:tcPr>
          <w:p w14:paraId="1318A561" w14:textId="20F8D25A" w:rsidR="002927C5" w:rsidRPr="00BC4C68" w:rsidRDefault="00935C16" w:rsidP="002927C5">
            <w:pPr>
              <w:spacing w:after="160" w:line="259" w:lineRule="auto"/>
              <w:rPr>
                <w:rFonts w:ascii="Arial" w:hAnsi="Arial" w:cs="Arial"/>
              </w:rPr>
            </w:pPr>
            <w:r w:rsidRPr="00BC4C68">
              <w:rPr>
                <w:rFonts w:ascii="Arial" w:hAnsi="Arial" w:cs="Arial"/>
              </w:rPr>
              <w:t>12 upheld</w:t>
            </w:r>
          </w:p>
        </w:tc>
      </w:tr>
      <w:tr w:rsidR="002927C5" w:rsidRPr="00BC4C68" w14:paraId="70372AB5" w14:textId="77777777" w:rsidTr="002927C5">
        <w:tc>
          <w:tcPr>
            <w:tcW w:w="3964" w:type="dxa"/>
          </w:tcPr>
          <w:p w14:paraId="30207B82" w14:textId="084FD31C" w:rsidR="002927C5" w:rsidRPr="00BC4C68" w:rsidRDefault="002927C5" w:rsidP="002927C5">
            <w:pPr>
              <w:spacing w:after="160" w:line="259" w:lineRule="auto"/>
              <w:rPr>
                <w:rFonts w:ascii="Arial" w:hAnsi="Arial" w:cs="Arial"/>
              </w:rPr>
            </w:pPr>
            <w:r w:rsidRPr="00BC4C68">
              <w:rPr>
                <w:rFonts w:ascii="Arial" w:hAnsi="Arial" w:cs="Arial"/>
              </w:rPr>
              <w:t>Contractors</w:t>
            </w:r>
          </w:p>
        </w:tc>
        <w:tc>
          <w:tcPr>
            <w:tcW w:w="1123" w:type="dxa"/>
          </w:tcPr>
          <w:p w14:paraId="692EEE7C" w14:textId="79629543" w:rsidR="002927C5" w:rsidRPr="00BC4C68" w:rsidRDefault="002927C5" w:rsidP="002927C5">
            <w:pPr>
              <w:spacing w:after="160" w:line="259" w:lineRule="auto"/>
              <w:rPr>
                <w:rFonts w:ascii="Arial" w:hAnsi="Arial" w:cs="Arial"/>
              </w:rPr>
            </w:pPr>
            <w:r w:rsidRPr="00BC4C68">
              <w:rPr>
                <w:rFonts w:ascii="Arial" w:hAnsi="Arial" w:cs="Arial"/>
              </w:rPr>
              <w:t>10</w:t>
            </w:r>
          </w:p>
        </w:tc>
        <w:tc>
          <w:tcPr>
            <w:tcW w:w="4111" w:type="dxa"/>
          </w:tcPr>
          <w:p w14:paraId="487FF718" w14:textId="5A99AC0B" w:rsidR="002927C5" w:rsidRPr="00BC4C68" w:rsidRDefault="00935C16" w:rsidP="002927C5">
            <w:pPr>
              <w:spacing w:after="160" w:line="259" w:lineRule="auto"/>
              <w:rPr>
                <w:rFonts w:ascii="Arial" w:hAnsi="Arial" w:cs="Arial"/>
              </w:rPr>
            </w:pPr>
            <w:r w:rsidRPr="00BC4C68">
              <w:rPr>
                <w:rFonts w:ascii="Arial" w:hAnsi="Arial" w:cs="Arial"/>
              </w:rPr>
              <w:t>4 upheld, 2 partially upheld</w:t>
            </w:r>
          </w:p>
        </w:tc>
      </w:tr>
      <w:tr w:rsidR="002927C5" w:rsidRPr="00BC4C68" w14:paraId="5635116C" w14:textId="77777777" w:rsidTr="002927C5">
        <w:tc>
          <w:tcPr>
            <w:tcW w:w="3964" w:type="dxa"/>
          </w:tcPr>
          <w:p w14:paraId="0F6E5D8A" w14:textId="6A1EAF31" w:rsidR="002927C5" w:rsidRPr="00BC4C68" w:rsidRDefault="002927C5" w:rsidP="002927C5">
            <w:pPr>
              <w:spacing w:after="160" w:line="259" w:lineRule="auto"/>
              <w:rPr>
                <w:rFonts w:ascii="Arial" w:hAnsi="Arial" w:cs="Arial"/>
              </w:rPr>
            </w:pPr>
            <w:r w:rsidRPr="00BC4C68">
              <w:rPr>
                <w:rFonts w:ascii="Arial" w:hAnsi="Arial" w:cs="Arial"/>
              </w:rPr>
              <w:t>Support</w:t>
            </w:r>
          </w:p>
        </w:tc>
        <w:tc>
          <w:tcPr>
            <w:tcW w:w="1123" w:type="dxa"/>
          </w:tcPr>
          <w:p w14:paraId="18072D4F" w14:textId="3633D1FA" w:rsidR="002927C5" w:rsidRPr="00BC4C68" w:rsidRDefault="002927C5" w:rsidP="002927C5">
            <w:pPr>
              <w:spacing w:after="160" w:line="259" w:lineRule="auto"/>
              <w:rPr>
                <w:rFonts w:ascii="Arial" w:hAnsi="Arial" w:cs="Arial"/>
              </w:rPr>
            </w:pPr>
            <w:r w:rsidRPr="00BC4C68">
              <w:rPr>
                <w:rFonts w:ascii="Arial" w:hAnsi="Arial" w:cs="Arial"/>
              </w:rPr>
              <w:t>5</w:t>
            </w:r>
          </w:p>
        </w:tc>
        <w:tc>
          <w:tcPr>
            <w:tcW w:w="4111" w:type="dxa"/>
          </w:tcPr>
          <w:p w14:paraId="6661EFB0" w14:textId="0B083A9B" w:rsidR="002927C5" w:rsidRPr="00BC4C68" w:rsidRDefault="00935C16" w:rsidP="002927C5">
            <w:pPr>
              <w:spacing w:after="160" w:line="259" w:lineRule="auto"/>
              <w:rPr>
                <w:rFonts w:ascii="Arial" w:hAnsi="Arial" w:cs="Arial"/>
              </w:rPr>
            </w:pPr>
            <w:r w:rsidRPr="00BC4C68">
              <w:rPr>
                <w:rFonts w:ascii="Arial" w:hAnsi="Arial" w:cs="Arial"/>
              </w:rPr>
              <w:t>0 upheld</w:t>
            </w:r>
          </w:p>
        </w:tc>
      </w:tr>
      <w:tr w:rsidR="002927C5" w:rsidRPr="00BC4C68" w14:paraId="7282E605" w14:textId="77777777" w:rsidTr="002927C5">
        <w:tc>
          <w:tcPr>
            <w:tcW w:w="3964" w:type="dxa"/>
          </w:tcPr>
          <w:p w14:paraId="01AA160A" w14:textId="1AD22FDF" w:rsidR="002927C5" w:rsidRPr="00BC4C68" w:rsidRDefault="002927C5" w:rsidP="002927C5">
            <w:pPr>
              <w:spacing w:after="160" w:line="259" w:lineRule="auto"/>
              <w:rPr>
                <w:rFonts w:ascii="Arial" w:hAnsi="Arial" w:cs="Arial"/>
              </w:rPr>
            </w:pPr>
            <w:r w:rsidRPr="00BC4C68">
              <w:rPr>
                <w:rFonts w:ascii="Arial" w:hAnsi="Arial" w:cs="Arial"/>
              </w:rPr>
              <w:t>Other</w:t>
            </w:r>
          </w:p>
        </w:tc>
        <w:tc>
          <w:tcPr>
            <w:tcW w:w="1123" w:type="dxa"/>
          </w:tcPr>
          <w:p w14:paraId="751C2F4F" w14:textId="0C833A7B" w:rsidR="002927C5" w:rsidRPr="00BC4C68" w:rsidRDefault="002927C5" w:rsidP="002927C5">
            <w:pPr>
              <w:spacing w:after="160" w:line="259" w:lineRule="auto"/>
              <w:rPr>
                <w:rFonts w:ascii="Arial" w:hAnsi="Arial" w:cs="Arial"/>
              </w:rPr>
            </w:pPr>
            <w:r w:rsidRPr="00BC4C68">
              <w:rPr>
                <w:rFonts w:ascii="Arial" w:hAnsi="Arial" w:cs="Arial"/>
              </w:rPr>
              <w:t>5</w:t>
            </w:r>
          </w:p>
        </w:tc>
        <w:tc>
          <w:tcPr>
            <w:tcW w:w="4111" w:type="dxa"/>
          </w:tcPr>
          <w:p w14:paraId="554FD3F3" w14:textId="7CB627E3" w:rsidR="002927C5" w:rsidRPr="00BC4C68" w:rsidRDefault="00935C16" w:rsidP="002927C5">
            <w:pPr>
              <w:spacing w:after="160" w:line="259" w:lineRule="auto"/>
              <w:rPr>
                <w:rFonts w:ascii="Arial" w:hAnsi="Arial" w:cs="Arial"/>
              </w:rPr>
            </w:pPr>
            <w:r w:rsidRPr="00BC4C68">
              <w:rPr>
                <w:rFonts w:ascii="Arial" w:hAnsi="Arial" w:cs="Arial"/>
              </w:rPr>
              <w:t>0 upheld</w:t>
            </w:r>
          </w:p>
        </w:tc>
      </w:tr>
      <w:tr w:rsidR="002927C5" w:rsidRPr="00BC4C68" w14:paraId="4FD1DE6E" w14:textId="77777777" w:rsidTr="002927C5">
        <w:tc>
          <w:tcPr>
            <w:tcW w:w="3964" w:type="dxa"/>
          </w:tcPr>
          <w:p w14:paraId="61DDF507" w14:textId="4A815158" w:rsidR="002927C5" w:rsidRPr="00BC4C68" w:rsidRDefault="002927C5" w:rsidP="002927C5">
            <w:pPr>
              <w:spacing w:after="160" w:line="259" w:lineRule="auto"/>
              <w:rPr>
                <w:rFonts w:ascii="Arial" w:hAnsi="Arial" w:cs="Arial"/>
              </w:rPr>
            </w:pPr>
            <w:r w:rsidRPr="00BC4C68">
              <w:rPr>
                <w:rFonts w:ascii="Arial" w:hAnsi="Arial" w:cs="Arial"/>
              </w:rPr>
              <w:t>Professional boundaries</w:t>
            </w:r>
          </w:p>
        </w:tc>
        <w:tc>
          <w:tcPr>
            <w:tcW w:w="1123" w:type="dxa"/>
          </w:tcPr>
          <w:p w14:paraId="1B0DEE81" w14:textId="5E1A6B91" w:rsidR="002927C5" w:rsidRPr="00BC4C68" w:rsidRDefault="002927C5" w:rsidP="002927C5">
            <w:pPr>
              <w:spacing w:after="160" w:line="259" w:lineRule="auto"/>
              <w:rPr>
                <w:rFonts w:ascii="Arial" w:hAnsi="Arial" w:cs="Arial"/>
              </w:rPr>
            </w:pPr>
            <w:r w:rsidRPr="00BC4C68">
              <w:rPr>
                <w:rFonts w:ascii="Arial" w:hAnsi="Arial" w:cs="Arial"/>
              </w:rPr>
              <w:t>4</w:t>
            </w:r>
          </w:p>
        </w:tc>
        <w:tc>
          <w:tcPr>
            <w:tcW w:w="4111" w:type="dxa"/>
          </w:tcPr>
          <w:p w14:paraId="00837FFE" w14:textId="140FBCE2" w:rsidR="002927C5" w:rsidRPr="00BC4C68" w:rsidRDefault="00935C16" w:rsidP="002927C5">
            <w:pPr>
              <w:spacing w:after="160" w:line="259" w:lineRule="auto"/>
              <w:rPr>
                <w:rFonts w:ascii="Arial" w:hAnsi="Arial" w:cs="Arial"/>
              </w:rPr>
            </w:pPr>
            <w:r w:rsidRPr="00BC4C68">
              <w:rPr>
                <w:rFonts w:ascii="Arial" w:hAnsi="Arial" w:cs="Arial"/>
              </w:rPr>
              <w:t>3 upheld</w:t>
            </w:r>
          </w:p>
        </w:tc>
      </w:tr>
      <w:tr w:rsidR="002927C5" w:rsidRPr="00BC4C68" w14:paraId="5820AEC5" w14:textId="77777777" w:rsidTr="002927C5">
        <w:tc>
          <w:tcPr>
            <w:tcW w:w="3964" w:type="dxa"/>
          </w:tcPr>
          <w:p w14:paraId="15E9DDC8" w14:textId="227508E9" w:rsidR="002927C5" w:rsidRPr="00BC4C68" w:rsidRDefault="002927C5" w:rsidP="002927C5">
            <w:pPr>
              <w:spacing w:after="160" w:line="259" w:lineRule="auto"/>
              <w:rPr>
                <w:rFonts w:ascii="Arial" w:hAnsi="Arial" w:cs="Arial"/>
              </w:rPr>
            </w:pPr>
            <w:r w:rsidRPr="00BC4C68">
              <w:rPr>
                <w:rFonts w:ascii="Arial" w:hAnsi="Arial" w:cs="Arial"/>
              </w:rPr>
              <w:t>Damp and mould</w:t>
            </w:r>
          </w:p>
        </w:tc>
        <w:tc>
          <w:tcPr>
            <w:tcW w:w="1123" w:type="dxa"/>
          </w:tcPr>
          <w:p w14:paraId="47EE1068" w14:textId="7EE39B9F" w:rsidR="002927C5" w:rsidRPr="00BC4C68" w:rsidRDefault="002927C5" w:rsidP="002927C5">
            <w:pPr>
              <w:spacing w:after="160" w:line="259" w:lineRule="auto"/>
              <w:rPr>
                <w:rFonts w:ascii="Arial" w:hAnsi="Arial" w:cs="Arial"/>
              </w:rPr>
            </w:pPr>
            <w:r w:rsidRPr="00BC4C68">
              <w:rPr>
                <w:rFonts w:ascii="Arial" w:hAnsi="Arial" w:cs="Arial"/>
              </w:rPr>
              <w:t>3</w:t>
            </w:r>
          </w:p>
        </w:tc>
        <w:tc>
          <w:tcPr>
            <w:tcW w:w="4111" w:type="dxa"/>
          </w:tcPr>
          <w:p w14:paraId="12F83BF4" w14:textId="4E9CA902" w:rsidR="002927C5" w:rsidRPr="00BC4C68" w:rsidRDefault="00935C16" w:rsidP="002927C5">
            <w:pPr>
              <w:spacing w:after="160" w:line="259" w:lineRule="auto"/>
              <w:rPr>
                <w:rFonts w:ascii="Arial" w:hAnsi="Arial" w:cs="Arial"/>
              </w:rPr>
            </w:pPr>
            <w:r w:rsidRPr="00BC4C68">
              <w:rPr>
                <w:rFonts w:ascii="Arial" w:hAnsi="Arial" w:cs="Arial"/>
              </w:rPr>
              <w:t>0 upheld</w:t>
            </w:r>
          </w:p>
        </w:tc>
      </w:tr>
      <w:tr w:rsidR="002927C5" w:rsidRPr="00BC4C68" w14:paraId="58DE5D0A" w14:textId="77777777" w:rsidTr="002927C5">
        <w:tc>
          <w:tcPr>
            <w:tcW w:w="3964" w:type="dxa"/>
          </w:tcPr>
          <w:p w14:paraId="60E1216F" w14:textId="10C79FF3" w:rsidR="002927C5" w:rsidRPr="00BC4C68" w:rsidRDefault="002927C5" w:rsidP="002927C5">
            <w:pPr>
              <w:spacing w:after="160" w:line="259" w:lineRule="auto"/>
              <w:rPr>
                <w:rFonts w:ascii="Arial" w:hAnsi="Arial" w:cs="Arial"/>
              </w:rPr>
            </w:pPr>
            <w:r w:rsidRPr="00BC4C68">
              <w:rPr>
                <w:rFonts w:ascii="Arial" w:hAnsi="Arial" w:cs="Arial"/>
              </w:rPr>
              <w:t>Voids</w:t>
            </w:r>
          </w:p>
        </w:tc>
        <w:tc>
          <w:tcPr>
            <w:tcW w:w="1123" w:type="dxa"/>
          </w:tcPr>
          <w:p w14:paraId="37CC8142" w14:textId="554FE52C" w:rsidR="002927C5" w:rsidRPr="00BC4C68" w:rsidRDefault="002927C5" w:rsidP="002927C5">
            <w:pPr>
              <w:spacing w:after="160" w:line="259" w:lineRule="auto"/>
              <w:rPr>
                <w:rFonts w:ascii="Arial" w:hAnsi="Arial" w:cs="Arial"/>
              </w:rPr>
            </w:pPr>
            <w:r w:rsidRPr="00BC4C68">
              <w:rPr>
                <w:rFonts w:ascii="Arial" w:hAnsi="Arial" w:cs="Arial"/>
              </w:rPr>
              <w:t>3</w:t>
            </w:r>
          </w:p>
        </w:tc>
        <w:tc>
          <w:tcPr>
            <w:tcW w:w="4111" w:type="dxa"/>
          </w:tcPr>
          <w:p w14:paraId="3B8783F7" w14:textId="18E00C13" w:rsidR="002927C5" w:rsidRPr="00BC4C68" w:rsidRDefault="00935C16" w:rsidP="002927C5">
            <w:pPr>
              <w:spacing w:after="160" w:line="259" w:lineRule="auto"/>
              <w:rPr>
                <w:rFonts w:ascii="Arial" w:hAnsi="Arial" w:cs="Arial"/>
              </w:rPr>
            </w:pPr>
            <w:r w:rsidRPr="00BC4C68">
              <w:rPr>
                <w:rFonts w:ascii="Arial" w:hAnsi="Arial" w:cs="Arial"/>
              </w:rPr>
              <w:t>3 upheld</w:t>
            </w:r>
          </w:p>
        </w:tc>
      </w:tr>
      <w:tr w:rsidR="002927C5" w:rsidRPr="00BC4C68" w14:paraId="18D00E08" w14:textId="77777777" w:rsidTr="002927C5">
        <w:tc>
          <w:tcPr>
            <w:tcW w:w="3964" w:type="dxa"/>
          </w:tcPr>
          <w:p w14:paraId="65A43F51" w14:textId="77777777" w:rsidR="002927C5" w:rsidRPr="00BC4C68" w:rsidRDefault="002927C5" w:rsidP="002927C5">
            <w:pPr>
              <w:spacing w:after="160" w:line="259" w:lineRule="auto"/>
              <w:rPr>
                <w:rFonts w:ascii="Arial" w:hAnsi="Arial" w:cs="Arial"/>
              </w:rPr>
            </w:pPr>
            <w:r w:rsidRPr="00BC4C68">
              <w:rPr>
                <w:rFonts w:ascii="Arial" w:hAnsi="Arial" w:cs="Arial"/>
              </w:rPr>
              <w:t>EDI</w:t>
            </w:r>
          </w:p>
        </w:tc>
        <w:tc>
          <w:tcPr>
            <w:tcW w:w="1123" w:type="dxa"/>
          </w:tcPr>
          <w:p w14:paraId="691DFBD6" w14:textId="71A5AD9F" w:rsidR="002927C5" w:rsidRPr="00BC4C68" w:rsidRDefault="002927C5" w:rsidP="002927C5">
            <w:pPr>
              <w:spacing w:after="160" w:line="259" w:lineRule="auto"/>
              <w:rPr>
                <w:rFonts w:ascii="Arial" w:hAnsi="Arial" w:cs="Arial"/>
              </w:rPr>
            </w:pPr>
            <w:r w:rsidRPr="00BC4C68">
              <w:rPr>
                <w:rFonts w:ascii="Arial" w:hAnsi="Arial" w:cs="Arial"/>
              </w:rPr>
              <w:t>2</w:t>
            </w:r>
          </w:p>
        </w:tc>
        <w:tc>
          <w:tcPr>
            <w:tcW w:w="4111" w:type="dxa"/>
          </w:tcPr>
          <w:p w14:paraId="3E5332C9" w14:textId="53FDA032" w:rsidR="002927C5" w:rsidRPr="00BC4C68" w:rsidRDefault="00935C16" w:rsidP="002927C5">
            <w:pPr>
              <w:spacing w:after="160" w:line="259" w:lineRule="auto"/>
              <w:rPr>
                <w:rFonts w:ascii="Arial" w:hAnsi="Arial" w:cs="Arial"/>
              </w:rPr>
            </w:pPr>
            <w:r w:rsidRPr="00BC4C68">
              <w:rPr>
                <w:rFonts w:ascii="Arial" w:hAnsi="Arial" w:cs="Arial"/>
              </w:rPr>
              <w:t>0 upheld</w:t>
            </w:r>
          </w:p>
        </w:tc>
      </w:tr>
      <w:tr w:rsidR="002927C5" w:rsidRPr="00BC4C68" w14:paraId="571D733A" w14:textId="77777777" w:rsidTr="002927C5">
        <w:tc>
          <w:tcPr>
            <w:tcW w:w="3964" w:type="dxa"/>
          </w:tcPr>
          <w:p w14:paraId="00B7078D" w14:textId="28398F83" w:rsidR="002927C5" w:rsidRPr="00BC4C68" w:rsidRDefault="002927C5" w:rsidP="002927C5">
            <w:pPr>
              <w:spacing w:after="160" w:line="259" w:lineRule="auto"/>
              <w:rPr>
                <w:rFonts w:ascii="Arial" w:hAnsi="Arial" w:cs="Arial"/>
              </w:rPr>
            </w:pPr>
            <w:r w:rsidRPr="00BC4C68">
              <w:rPr>
                <w:rFonts w:ascii="Arial" w:hAnsi="Arial" w:cs="Arial"/>
              </w:rPr>
              <w:t>Rent</w:t>
            </w:r>
          </w:p>
        </w:tc>
        <w:tc>
          <w:tcPr>
            <w:tcW w:w="1123" w:type="dxa"/>
          </w:tcPr>
          <w:p w14:paraId="08A95A02" w14:textId="434364EA" w:rsidR="002927C5" w:rsidRPr="00BC4C68" w:rsidRDefault="002927C5" w:rsidP="002927C5">
            <w:pPr>
              <w:spacing w:after="160" w:line="259" w:lineRule="auto"/>
              <w:rPr>
                <w:rFonts w:ascii="Arial" w:hAnsi="Arial" w:cs="Arial"/>
              </w:rPr>
            </w:pPr>
            <w:r w:rsidRPr="00BC4C68">
              <w:rPr>
                <w:rFonts w:ascii="Arial" w:hAnsi="Arial" w:cs="Arial"/>
              </w:rPr>
              <w:t>1</w:t>
            </w:r>
          </w:p>
        </w:tc>
        <w:tc>
          <w:tcPr>
            <w:tcW w:w="4111" w:type="dxa"/>
          </w:tcPr>
          <w:p w14:paraId="63EEB187" w14:textId="730F0208" w:rsidR="002927C5" w:rsidRPr="00BC4C68" w:rsidRDefault="00935C16" w:rsidP="002927C5">
            <w:pPr>
              <w:spacing w:after="160" w:line="259" w:lineRule="auto"/>
              <w:rPr>
                <w:rFonts w:ascii="Arial" w:hAnsi="Arial" w:cs="Arial"/>
              </w:rPr>
            </w:pPr>
            <w:r w:rsidRPr="00BC4C68">
              <w:rPr>
                <w:rFonts w:ascii="Arial" w:hAnsi="Arial" w:cs="Arial"/>
              </w:rPr>
              <w:t>0 upheld</w:t>
            </w:r>
          </w:p>
        </w:tc>
      </w:tr>
    </w:tbl>
    <w:p w14:paraId="1FDA5EE0" w14:textId="27DDAE68" w:rsidR="00E63A02" w:rsidRPr="00BC4C68" w:rsidRDefault="00E63A02" w:rsidP="00E63A02">
      <w:pPr>
        <w:spacing w:after="160" w:line="259" w:lineRule="auto"/>
        <w:rPr>
          <w:rFonts w:ascii="Arial" w:hAnsi="Arial" w:cs="Arial"/>
        </w:rPr>
      </w:pPr>
    </w:p>
    <w:p w14:paraId="177672F2" w14:textId="2C2FAE7F" w:rsidR="00E63A02" w:rsidRPr="00BC4C68" w:rsidRDefault="00E63A02" w:rsidP="00E63A02">
      <w:pPr>
        <w:spacing w:after="160" w:line="259" w:lineRule="auto"/>
        <w:jc w:val="both"/>
        <w:rPr>
          <w:rFonts w:ascii="Arial" w:hAnsi="Arial" w:cs="Arial"/>
        </w:rPr>
      </w:pPr>
      <w:r w:rsidRPr="00BC4C68">
        <w:rPr>
          <w:rFonts w:ascii="Arial" w:hAnsi="Arial" w:cs="Arial"/>
        </w:rPr>
        <w:t xml:space="preserve">The nature and outcome of complaints are shared with Service and Operational Managers (or equivalent in central services) for them to address concerns about practice or behaviour. Where appropriate, information is </w:t>
      </w:r>
      <w:r w:rsidR="00FC034D">
        <w:rPr>
          <w:rFonts w:ascii="Arial" w:hAnsi="Arial" w:cs="Arial"/>
        </w:rPr>
        <w:t xml:space="preserve">also </w:t>
      </w:r>
      <w:r w:rsidRPr="00BC4C68">
        <w:rPr>
          <w:rFonts w:ascii="Arial" w:hAnsi="Arial" w:cs="Arial"/>
        </w:rPr>
        <w:t>shared with HR and Directors.</w:t>
      </w:r>
    </w:p>
    <w:p w14:paraId="1DB1D0EA" w14:textId="0386BE4E" w:rsidR="004E319A" w:rsidRPr="00BC4C68" w:rsidRDefault="009D3B7B" w:rsidP="00E63A02">
      <w:pPr>
        <w:spacing w:after="160" w:line="259" w:lineRule="auto"/>
        <w:jc w:val="both"/>
        <w:rPr>
          <w:rFonts w:ascii="Arial" w:hAnsi="Arial" w:cs="Arial"/>
        </w:rPr>
      </w:pPr>
      <w:r>
        <w:rPr>
          <w:rFonts w:ascii="Arial" w:hAnsi="Arial" w:cs="Arial"/>
        </w:rPr>
        <w:t xml:space="preserve">More </w:t>
      </w:r>
      <w:r w:rsidR="00FC034D">
        <w:rPr>
          <w:rFonts w:ascii="Arial" w:hAnsi="Arial" w:cs="Arial"/>
        </w:rPr>
        <w:t>qualitative information about</w:t>
      </w:r>
      <w:r>
        <w:rPr>
          <w:rFonts w:ascii="Arial" w:hAnsi="Arial" w:cs="Arial"/>
        </w:rPr>
        <w:t xml:space="preserve"> upheld complaints </w:t>
      </w:r>
      <w:r w:rsidR="00FC034D">
        <w:rPr>
          <w:rFonts w:ascii="Arial" w:hAnsi="Arial" w:cs="Arial"/>
        </w:rPr>
        <w:t>is</w:t>
      </w:r>
      <w:r>
        <w:rPr>
          <w:rFonts w:ascii="Arial" w:hAnsi="Arial" w:cs="Arial"/>
        </w:rPr>
        <w:t xml:space="preserve"> shared at the Service Delivery Committee where the information is scrutinised in more depth.</w:t>
      </w:r>
      <w:r w:rsidR="00935C16" w:rsidRPr="00BC4C68">
        <w:rPr>
          <w:rFonts w:ascii="Arial" w:hAnsi="Arial" w:cs="Arial"/>
        </w:rPr>
        <w:t xml:space="preserve"> </w:t>
      </w:r>
    </w:p>
    <w:p w14:paraId="11C532CC" w14:textId="77777777" w:rsidR="00E63A02" w:rsidRPr="00BC4C68" w:rsidRDefault="00E63A02" w:rsidP="00E63A02">
      <w:pPr>
        <w:pStyle w:val="NoSpacing"/>
        <w:jc w:val="both"/>
        <w:rPr>
          <w:rFonts w:ascii="Arial" w:hAnsi="Arial" w:cs="Arial"/>
          <w:b/>
          <w:bCs/>
          <w:sz w:val="24"/>
          <w:szCs w:val="24"/>
        </w:rPr>
      </w:pPr>
      <w:r w:rsidRPr="00BC4C68">
        <w:rPr>
          <w:rFonts w:ascii="Arial" w:hAnsi="Arial" w:cs="Arial"/>
          <w:b/>
          <w:bCs/>
          <w:sz w:val="24"/>
          <w:szCs w:val="24"/>
        </w:rPr>
        <w:t>The Housing Ombudsman</w:t>
      </w:r>
    </w:p>
    <w:p w14:paraId="5776CE72" w14:textId="77777777" w:rsidR="004E319A" w:rsidRPr="00BC4C68" w:rsidRDefault="004E319A" w:rsidP="004E319A">
      <w:pPr>
        <w:pStyle w:val="TableParagraph"/>
        <w:tabs>
          <w:tab w:val="left" w:pos="827"/>
        </w:tabs>
        <w:spacing w:after="120"/>
        <w:ind w:right="306"/>
        <w:jc w:val="both"/>
        <w:rPr>
          <w:sz w:val="24"/>
          <w:szCs w:val="24"/>
        </w:rPr>
      </w:pPr>
      <w:r w:rsidRPr="00BC4C68">
        <w:rPr>
          <w:sz w:val="24"/>
          <w:szCs w:val="24"/>
        </w:rPr>
        <w:t>The code stipulates that we include the following in this report:</w:t>
      </w:r>
    </w:p>
    <w:p w14:paraId="03DACA47" w14:textId="77777777" w:rsidR="004E319A" w:rsidRPr="00BC4C68" w:rsidRDefault="004E319A" w:rsidP="004E319A">
      <w:pPr>
        <w:pStyle w:val="TableParagraph"/>
        <w:numPr>
          <w:ilvl w:val="0"/>
          <w:numId w:val="16"/>
        </w:numPr>
        <w:tabs>
          <w:tab w:val="left" w:pos="827"/>
        </w:tabs>
        <w:ind w:right="306"/>
        <w:jc w:val="both"/>
        <w:rPr>
          <w:sz w:val="24"/>
          <w:szCs w:val="24"/>
        </w:rPr>
      </w:pPr>
      <w:r w:rsidRPr="00BC4C68">
        <w:rPr>
          <w:sz w:val="24"/>
          <w:szCs w:val="24"/>
        </w:rPr>
        <w:t>any</w:t>
      </w:r>
      <w:r w:rsidRPr="00BC4C68">
        <w:rPr>
          <w:spacing w:val="-14"/>
          <w:sz w:val="24"/>
          <w:szCs w:val="24"/>
        </w:rPr>
        <w:t xml:space="preserve"> </w:t>
      </w:r>
      <w:r w:rsidRPr="00BC4C68">
        <w:rPr>
          <w:sz w:val="24"/>
          <w:szCs w:val="24"/>
        </w:rPr>
        <w:t>findings</w:t>
      </w:r>
      <w:r w:rsidRPr="00BC4C68">
        <w:rPr>
          <w:spacing w:val="-14"/>
          <w:sz w:val="24"/>
          <w:szCs w:val="24"/>
        </w:rPr>
        <w:t xml:space="preserve"> </w:t>
      </w:r>
      <w:r w:rsidRPr="00BC4C68">
        <w:rPr>
          <w:sz w:val="24"/>
          <w:szCs w:val="24"/>
        </w:rPr>
        <w:t>of</w:t>
      </w:r>
      <w:r w:rsidRPr="00BC4C68">
        <w:rPr>
          <w:spacing w:val="-13"/>
          <w:sz w:val="24"/>
          <w:szCs w:val="24"/>
        </w:rPr>
        <w:t xml:space="preserve"> </w:t>
      </w:r>
      <w:r w:rsidRPr="00BC4C68">
        <w:rPr>
          <w:sz w:val="24"/>
          <w:szCs w:val="24"/>
        </w:rPr>
        <w:t xml:space="preserve">non-compliance with this Code by the </w:t>
      </w:r>
      <w:proofErr w:type="gramStart"/>
      <w:r w:rsidRPr="00BC4C68">
        <w:rPr>
          <w:sz w:val="24"/>
          <w:szCs w:val="24"/>
        </w:rPr>
        <w:t>Ombudsman;</w:t>
      </w:r>
      <w:proofErr w:type="gramEnd"/>
    </w:p>
    <w:p w14:paraId="7B8EB79E" w14:textId="77777777" w:rsidR="004E319A" w:rsidRPr="00BC4C68" w:rsidRDefault="004E319A" w:rsidP="004E319A">
      <w:pPr>
        <w:pStyle w:val="TableParagraph"/>
        <w:numPr>
          <w:ilvl w:val="0"/>
          <w:numId w:val="16"/>
        </w:numPr>
        <w:tabs>
          <w:tab w:val="left" w:pos="827"/>
        </w:tabs>
        <w:ind w:right="676"/>
        <w:jc w:val="both"/>
        <w:rPr>
          <w:sz w:val="24"/>
          <w:szCs w:val="24"/>
        </w:rPr>
      </w:pPr>
      <w:r w:rsidRPr="00BC4C68">
        <w:rPr>
          <w:sz w:val="24"/>
          <w:szCs w:val="24"/>
        </w:rPr>
        <w:t>any</w:t>
      </w:r>
      <w:r w:rsidRPr="00BC4C68">
        <w:rPr>
          <w:spacing w:val="-10"/>
          <w:sz w:val="24"/>
          <w:szCs w:val="24"/>
        </w:rPr>
        <w:t xml:space="preserve"> </w:t>
      </w:r>
      <w:r w:rsidRPr="00BC4C68">
        <w:rPr>
          <w:sz w:val="24"/>
          <w:szCs w:val="24"/>
        </w:rPr>
        <w:t>annual</w:t>
      </w:r>
      <w:r w:rsidRPr="00BC4C68">
        <w:rPr>
          <w:spacing w:val="-9"/>
          <w:sz w:val="24"/>
          <w:szCs w:val="24"/>
        </w:rPr>
        <w:t xml:space="preserve"> </w:t>
      </w:r>
      <w:r w:rsidRPr="00BC4C68">
        <w:rPr>
          <w:sz w:val="24"/>
          <w:szCs w:val="24"/>
        </w:rPr>
        <w:t>report</w:t>
      </w:r>
      <w:r w:rsidRPr="00BC4C68">
        <w:rPr>
          <w:spacing w:val="-9"/>
          <w:sz w:val="24"/>
          <w:szCs w:val="24"/>
        </w:rPr>
        <w:t xml:space="preserve"> </w:t>
      </w:r>
      <w:r w:rsidRPr="00BC4C68">
        <w:rPr>
          <w:sz w:val="24"/>
          <w:szCs w:val="24"/>
        </w:rPr>
        <w:t>about</w:t>
      </w:r>
      <w:r w:rsidRPr="00BC4C68">
        <w:rPr>
          <w:spacing w:val="-9"/>
          <w:sz w:val="24"/>
          <w:szCs w:val="24"/>
        </w:rPr>
        <w:t xml:space="preserve"> </w:t>
      </w:r>
      <w:r w:rsidRPr="00BC4C68">
        <w:rPr>
          <w:sz w:val="24"/>
          <w:szCs w:val="24"/>
        </w:rPr>
        <w:t>the landlord’s performance from the Ombudsman; and</w:t>
      </w:r>
    </w:p>
    <w:p w14:paraId="2D272096" w14:textId="77777777" w:rsidR="004E319A" w:rsidRPr="00BC4C68" w:rsidRDefault="004E319A" w:rsidP="004E319A">
      <w:pPr>
        <w:pStyle w:val="ListParagraph"/>
        <w:numPr>
          <w:ilvl w:val="0"/>
          <w:numId w:val="16"/>
        </w:numPr>
        <w:spacing w:after="120" w:line="259" w:lineRule="auto"/>
        <w:jc w:val="both"/>
        <w:rPr>
          <w:rFonts w:ascii="Arial" w:hAnsi="Arial" w:cs="Arial"/>
        </w:rPr>
      </w:pPr>
      <w:r w:rsidRPr="00BC4C68">
        <w:rPr>
          <w:rFonts w:ascii="Arial" w:hAnsi="Arial" w:cs="Arial"/>
        </w:rPr>
        <w:t>any other relevant reports or publications produced by the Ombudsman</w:t>
      </w:r>
      <w:r w:rsidRPr="00BC4C68">
        <w:rPr>
          <w:rFonts w:ascii="Arial" w:hAnsi="Arial" w:cs="Arial"/>
          <w:spacing w:val="-7"/>
        </w:rPr>
        <w:t xml:space="preserve"> </w:t>
      </w:r>
      <w:r w:rsidRPr="00BC4C68">
        <w:rPr>
          <w:rFonts w:ascii="Arial" w:hAnsi="Arial" w:cs="Arial"/>
        </w:rPr>
        <w:t>in</w:t>
      </w:r>
      <w:r w:rsidRPr="00BC4C68">
        <w:rPr>
          <w:rFonts w:ascii="Arial" w:hAnsi="Arial" w:cs="Arial"/>
          <w:spacing w:val="-7"/>
        </w:rPr>
        <w:t xml:space="preserve"> </w:t>
      </w:r>
      <w:r w:rsidRPr="00BC4C68">
        <w:rPr>
          <w:rFonts w:ascii="Arial" w:hAnsi="Arial" w:cs="Arial"/>
        </w:rPr>
        <w:t>relation</w:t>
      </w:r>
      <w:r w:rsidRPr="00BC4C68">
        <w:rPr>
          <w:rFonts w:ascii="Arial" w:hAnsi="Arial" w:cs="Arial"/>
          <w:spacing w:val="-7"/>
        </w:rPr>
        <w:t xml:space="preserve"> </w:t>
      </w:r>
      <w:r w:rsidRPr="00BC4C68">
        <w:rPr>
          <w:rFonts w:ascii="Arial" w:hAnsi="Arial" w:cs="Arial"/>
        </w:rPr>
        <w:t>to</w:t>
      </w:r>
      <w:r w:rsidRPr="00BC4C68">
        <w:rPr>
          <w:rFonts w:ascii="Arial" w:hAnsi="Arial" w:cs="Arial"/>
          <w:spacing w:val="-7"/>
        </w:rPr>
        <w:t xml:space="preserve"> </w:t>
      </w:r>
      <w:r w:rsidRPr="00BC4C68">
        <w:rPr>
          <w:rFonts w:ascii="Arial" w:hAnsi="Arial" w:cs="Arial"/>
        </w:rPr>
        <w:t>the</w:t>
      </w:r>
      <w:r w:rsidRPr="00BC4C68">
        <w:rPr>
          <w:rFonts w:ascii="Arial" w:hAnsi="Arial" w:cs="Arial"/>
          <w:spacing w:val="-7"/>
        </w:rPr>
        <w:t xml:space="preserve"> </w:t>
      </w:r>
      <w:r w:rsidRPr="00BC4C68">
        <w:rPr>
          <w:rFonts w:ascii="Arial" w:hAnsi="Arial" w:cs="Arial"/>
        </w:rPr>
        <w:t>work</w:t>
      </w:r>
      <w:r w:rsidRPr="00BC4C68">
        <w:rPr>
          <w:rFonts w:ascii="Arial" w:hAnsi="Arial" w:cs="Arial"/>
          <w:spacing w:val="-7"/>
        </w:rPr>
        <w:t xml:space="preserve"> </w:t>
      </w:r>
      <w:r w:rsidRPr="00BC4C68">
        <w:rPr>
          <w:rFonts w:ascii="Arial" w:hAnsi="Arial" w:cs="Arial"/>
        </w:rPr>
        <w:t>of the landlord.</w:t>
      </w:r>
    </w:p>
    <w:p w14:paraId="5119DB74" w14:textId="696581C7" w:rsidR="004E319A" w:rsidRPr="00BC4C68" w:rsidRDefault="004E319A" w:rsidP="004E319A">
      <w:pPr>
        <w:jc w:val="both"/>
        <w:rPr>
          <w:rFonts w:ascii="Arial" w:hAnsi="Arial" w:cs="Arial"/>
          <w:bCs/>
        </w:rPr>
      </w:pPr>
      <w:r w:rsidRPr="00BC4C68">
        <w:rPr>
          <w:rFonts w:ascii="Arial" w:hAnsi="Arial" w:cs="Arial"/>
          <w:bCs/>
        </w:rPr>
        <w:t>At the time of writing this report we do not have any of the above</w:t>
      </w:r>
      <w:r w:rsidR="00430B1D" w:rsidRPr="00BC4C68">
        <w:rPr>
          <w:rFonts w:ascii="Arial" w:hAnsi="Arial" w:cs="Arial"/>
          <w:bCs/>
        </w:rPr>
        <w:t xml:space="preserve"> and there has been no contact from the Ombudsman this year</w:t>
      </w:r>
      <w:r w:rsidRPr="00BC4C68">
        <w:rPr>
          <w:rFonts w:ascii="Arial" w:hAnsi="Arial" w:cs="Arial"/>
          <w:bCs/>
        </w:rPr>
        <w:t>.</w:t>
      </w:r>
    </w:p>
    <w:p w14:paraId="5E3993C9" w14:textId="77777777" w:rsidR="00E63A02" w:rsidRPr="00BC4C68" w:rsidRDefault="00E63A02" w:rsidP="00E63A02">
      <w:pPr>
        <w:pStyle w:val="NoSpacing"/>
        <w:jc w:val="both"/>
        <w:rPr>
          <w:rFonts w:ascii="Arial" w:hAnsi="Arial" w:cs="Arial"/>
          <w:sz w:val="24"/>
          <w:szCs w:val="24"/>
        </w:rPr>
      </w:pPr>
    </w:p>
    <w:p w14:paraId="61E75C09" w14:textId="77777777" w:rsidR="00E63A02" w:rsidRPr="00BC4C68" w:rsidRDefault="00E63A02" w:rsidP="00E63A02">
      <w:pPr>
        <w:spacing w:line="252" w:lineRule="auto"/>
        <w:jc w:val="both"/>
        <w:rPr>
          <w:rFonts w:ascii="Arial" w:hAnsi="Arial" w:cs="Arial"/>
          <w:b/>
        </w:rPr>
      </w:pPr>
      <w:r w:rsidRPr="00BC4C68">
        <w:rPr>
          <w:rFonts w:ascii="Arial" w:hAnsi="Arial" w:cs="Arial"/>
          <w:b/>
        </w:rPr>
        <w:t>Compensation</w:t>
      </w:r>
    </w:p>
    <w:p w14:paraId="03C2B331" w14:textId="365F4F1F" w:rsidR="00E63A02" w:rsidRPr="00BC4C68" w:rsidRDefault="00430B1D" w:rsidP="00E63A02">
      <w:pPr>
        <w:spacing w:line="252" w:lineRule="auto"/>
        <w:jc w:val="both"/>
        <w:rPr>
          <w:rFonts w:ascii="Arial" w:hAnsi="Arial" w:cs="Arial"/>
          <w:bCs/>
        </w:rPr>
      </w:pPr>
      <w:r w:rsidRPr="00BC4C68">
        <w:rPr>
          <w:rFonts w:ascii="Arial" w:hAnsi="Arial" w:cs="Arial"/>
          <w:bCs/>
        </w:rPr>
        <w:t>Where we have upheld complaints this year, in some cases it has been appropriate to issue compensation because of a failure in service.  We have awarded compensation in eight cases amounting to a total of almost £2,500.</w:t>
      </w:r>
    </w:p>
    <w:p w14:paraId="08EC5B6E" w14:textId="77777777" w:rsidR="00430B1D" w:rsidRPr="00BC4C68" w:rsidRDefault="00430B1D" w:rsidP="00E63A02">
      <w:pPr>
        <w:spacing w:line="252" w:lineRule="auto"/>
        <w:jc w:val="both"/>
        <w:rPr>
          <w:rFonts w:ascii="Arial" w:hAnsi="Arial" w:cs="Arial"/>
          <w:bCs/>
        </w:rPr>
      </w:pPr>
    </w:p>
    <w:p w14:paraId="30F55A88" w14:textId="5BCA6032" w:rsidR="00430B1D" w:rsidRPr="00BC4C68" w:rsidRDefault="00430B1D" w:rsidP="00E63A02">
      <w:pPr>
        <w:spacing w:line="252" w:lineRule="auto"/>
        <w:jc w:val="both"/>
        <w:rPr>
          <w:rFonts w:ascii="Arial" w:hAnsi="Arial" w:cs="Arial"/>
          <w:bCs/>
        </w:rPr>
      </w:pPr>
      <w:r w:rsidRPr="00BC4C68">
        <w:rPr>
          <w:rFonts w:ascii="Arial" w:hAnsi="Arial" w:cs="Arial"/>
          <w:bCs/>
        </w:rPr>
        <w:t>The complaints where compensation was awarded relate to two main areas – repairs delays and disposal of belongings in error.</w:t>
      </w:r>
      <w:r w:rsidR="00E57818" w:rsidRPr="00BC4C68">
        <w:rPr>
          <w:rFonts w:ascii="Arial" w:hAnsi="Arial" w:cs="Arial"/>
          <w:bCs/>
        </w:rPr>
        <w:t xml:space="preserve">  This is covered further in </w:t>
      </w:r>
      <w:r w:rsidR="00FC034D">
        <w:rPr>
          <w:rFonts w:ascii="Arial" w:hAnsi="Arial" w:cs="Arial"/>
          <w:bCs/>
        </w:rPr>
        <w:t>‘</w:t>
      </w:r>
      <w:r w:rsidR="00E57818" w:rsidRPr="00BC4C68">
        <w:rPr>
          <w:rFonts w:ascii="Arial" w:hAnsi="Arial" w:cs="Arial"/>
          <w:bCs/>
        </w:rPr>
        <w:t>Themes and Learning</w:t>
      </w:r>
      <w:r w:rsidR="00FC034D">
        <w:rPr>
          <w:rFonts w:ascii="Arial" w:hAnsi="Arial" w:cs="Arial"/>
          <w:bCs/>
        </w:rPr>
        <w:t>’</w:t>
      </w:r>
      <w:r w:rsidR="00E57818" w:rsidRPr="00BC4C68">
        <w:rPr>
          <w:rFonts w:ascii="Arial" w:hAnsi="Arial" w:cs="Arial"/>
          <w:bCs/>
        </w:rPr>
        <w:t xml:space="preserve"> below.</w:t>
      </w:r>
    </w:p>
    <w:p w14:paraId="50DC5442" w14:textId="77777777" w:rsidR="00E63A02" w:rsidRPr="00BC4C68" w:rsidRDefault="00E63A02" w:rsidP="00E63A02">
      <w:pPr>
        <w:jc w:val="both"/>
        <w:rPr>
          <w:rFonts w:ascii="Arial" w:hAnsi="Arial" w:cs="Arial"/>
          <w:b/>
          <w:bCs/>
        </w:rPr>
      </w:pPr>
    </w:p>
    <w:p w14:paraId="2F993E12" w14:textId="77777777" w:rsidR="00E63A02" w:rsidRPr="00BC4C68" w:rsidRDefault="00E63A02" w:rsidP="00E63A02">
      <w:pPr>
        <w:jc w:val="both"/>
        <w:rPr>
          <w:rFonts w:ascii="Arial" w:hAnsi="Arial" w:cs="Arial"/>
          <w:b/>
          <w:bCs/>
        </w:rPr>
      </w:pPr>
      <w:r w:rsidRPr="00BC4C68">
        <w:rPr>
          <w:rFonts w:ascii="Arial" w:hAnsi="Arial" w:cs="Arial"/>
          <w:b/>
          <w:bCs/>
        </w:rPr>
        <w:t>Themes and learning</w:t>
      </w:r>
    </w:p>
    <w:p w14:paraId="3CBE51C3" w14:textId="77777777" w:rsidR="005939A7" w:rsidRPr="00BC4C68" w:rsidRDefault="000A5B3A" w:rsidP="00E63A02">
      <w:pPr>
        <w:jc w:val="both"/>
        <w:rPr>
          <w:rFonts w:ascii="Arial" w:hAnsi="Arial" w:cs="Arial"/>
        </w:rPr>
      </w:pPr>
      <w:r w:rsidRPr="00BC4C68">
        <w:rPr>
          <w:rFonts w:ascii="Arial" w:hAnsi="Arial" w:cs="Arial"/>
        </w:rPr>
        <w:t xml:space="preserve">Enhanced reporting and a dedicated team to handle housing related complaints has helped to identify areas for improvement.  </w:t>
      </w:r>
      <w:r w:rsidR="005939A7" w:rsidRPr="00BC4C68">
        <w:rPr>
          <w:rFonts w:ascii="Arial" w:hAnsi="Arial" w:cs="Arial"/>
        </w:rPr>
        <w:t xml:space="preserve">Work is already underway to ensure that we are learning from complaints and improving services to residents </w:t>
      </w:r>
      <w:proofErr w:type="gramStart"/>
      <w:r w:rsidR="005939A7" w:rsidRPr="00BC4C68">
        <w:rPr>
          <w:rFonts w:ascii="Arial" w:hAnsi="Arial" w:cs="Arial"/>
        </w:rPr>
        <w:t>as a result of</w:t>
      </w:r>
      <w:proofErr w:type="gramEnd"/>
      <w:r w:rsidR="005939A7" w:rsidRPr="00BC4C68">
        <w:rPr>
          <w:rFonts w:ascii="Arial" w:hAnsi="Arial" w:cs="Arial"/>
        </w:rPr>
        <w:t xml:space="preserve"> this learning. We will continue to further develop our work around complaints to identify areas for improvement </w:t>
      </w:r>
      <w:proofErr w:type="gramStart"/>
      <w:r w:rsidR="005939A7" w:rsidRPr="00BC4C68">
        <w:rPr>
          <w:rFonts w:ascii="Arial" w:hAnsi="Arial" w:cs="Arial"/>
        </w:rPr>
        <w:t>in order to</w:t>
      </w:r>
      <w:proofErr w:type="gramEnd"/>
      <w:r w:rsidR="005939A7" w:rsidRPr="00BC4C68">
        <w:rPr>
          <w:rFonts w:ascii="Arial" w:hAnsi="Arial" w:cs="Arial"/>
        </w:rPr>
        <w:t xml:space="preserve"> provide excellent services to the people we house.</w:t>
      </w:r>
    </w:p>
    <w:p w14:paraId="24EF0711" w14:textId="30AECB69" w:rsidR="00E63A02" w:rsidRPr="00BC4C68" w:rsidRDefault="00E63A02" w:rsidP="00E63A02">
      <w:pPr>
        <w:jc w:val="both"/>
        <w:rPr>
          <w:rFonts w:ascii="Arial" w:hAnsi="Arial" w:cs="Arial"/>
        </w:rPr>
      </w:pPr>
      <w:r w:rsidRPr="00BC4C68">
        <w:rPr>
          <w:rFonts w:ascii="Arial" w:hAnsi="Arial" w:cs="Arial"/>
        </w:rPr>
        <w:t xml:space="preserve"> </w:t>
      </w:r>
    </w:p>
    <w:p w14:paraId="27E02F8F" w14:textId="627C2981" w:rsidR="009B3DB1" w:rsidRPr="00BC4C68" w:rsidRDefault="009B3DB1" w:rsidP="00E63A02">
      <w:pPr>
        <w:jc w:val="both"/>
        <w:rPr>
          <w:rFonts w:ascii="Arial" w:hAnsi="Arial" w:cs="Arial"/>
        </w:rPr>
      </w:pPr>
      <w:r w:rsidRPr="00BC4C68">
        <w:rPr>
          <w:rFonts w:ascii="Arial" w:hAnsi="Arial" w:cs="Arial"/>
        </w:rPr>
        <w:t>Learning from complaints is included in the Annual Report to Residents.  We will be exploring other ways of sharing learning through the website and newsletters</w:t>
      </w:r>
      <w:r w:rsidR="00FC034D">
        <w:rPr>
          <w:rFonts w:ascii="Arial" w:hAnsi="Arial" w:cs="Arial"/>
        </w:rPr>
        <w:t>,</w:t>
      </w:r>
      <w:r w:rsidRPr="00BC4C68">
        <w:rPr>
          <w:rFonts w:ascii="Arial" w:hAnsi="Arial" w:cs="Arial"/>
        </w:rPr>
        <w:t xml:space="preserve"> </w:t>
      </w:r>
      <w:r w:rsidR="00E57818" w:rsidRPr="00BC4C68">
        <w:rPr>
          <w:rFonts w:ascii="Arial" w:hAnsi="Arial" w:cs="Arial"/>
        </w:rPr>
        <w:t xml:space="preserve">for </w:t>
      </w:r>
      <w:r w:rsidRPr="00BC4C68">
        <w:rPr>
          <w:rFonts w:ascii="Arial" w:hAnsi="Arial" w:cs="Arial"/>
        </w:rPr>
        <w:t>example.   The Framework Community members will be involved in this work.</w:t>
      </w:r>
    </w:p>
    <w:p w14:paraId="59B04CFF" w14:textId="77777777" w:rsidR="00E57818" w:rsidRPr="00BC4C68" w:rsidRDefault="00E57818" w:rsidP="00E63A02">
      <w:pPr>
        <w:jc w:val="both"/>
        <w:rPr>
          <w:rFonts w:ascii="Arial" w:hAnsi="Arial" w:cs="Arial"/>
        </w:rPr>
      </w:pPr>
    </w:p>
    <w:p w14:paraId="51EC2C5F" w14:textId="77777777" w:rsidR="00FC034D" w:rsidRPr="00BC4C68" w:rsidRDefault="00FC034D" w:rsidP="00FC034D">
      <w:pPr>
        <w:jc w:val="both"/>
        <w:rPr>
          <w:rFonts w:ascii="Arial" w:hAnsi="Arial" w:cs="Arial"/>
        </w:rPr>
      </w:pPr>
      <w:r w:rsidRPr="00BC4C68">
        <w:rPr>
          <w:rFonts w:ascii="Arial" w:hAnsi="Arial" w:cs="Arial"/>
        </w:rPr>
        <w:t>The following themes have been identified through the complaints we have received.</w:t>
      </w:r>
    </w:p>
    <w:p w14:paraId="00EED871" w14:textId="77777777" w:rsidR="00E63A02" w:rsidRPr="00BC4C68" w:rsidRDefault="00E63A02" w:rsidP="00E63A02">
      <w:pPr>
        <w:rPr>
          <w:rFonts w:ascii="Arial" w:hAnsi="Arial" w:cs="Arial"/>
        </w:rPr>
      </w:pPr>
    </w:p>
    <w:tbl>
      <w:tblPr>
        <w:tblStyle w:val="TableGrid"/>
        <w:tblW w:w="0" w:type="auto"/>
        <w:tblLook w:val="04A0" w:firstRow="1" w:lastRow="0" w:firstColumn="1" w:lastColumn="0" w:noHBand="0" w:noVBand="1"/>
      </w:tblPr>
      <w:tblGrid>
        <w:gridCol w:w="2547"/>
        <w:gridCol w:w="6147"/>
      </w:tblGrid>
      <w:tr w:rsidR="00E63A02" w:rsidRPr="00BC4C68" w14:paraId="23A859A3" w14:textId="77777777" w:rsidTr="00E24F77">
        <w:tc>
          <w:tcPr>
            <w:tcW w:w="2547" w:type="dxa"/>
          </w:tcPr>
          <w:p w14:paraId="65F2228B" w14:textId="77777777" w:rsidR="00E63A02" w:rsidRPr="00BC4C68" w:rsidRDefault="00E63A02" w:rsidP="005E0D00">
            <w:pPr>
              <w:jc w:val="center"/>
              <w:rPr>
                <w:rFonts w:ascii="Arial" w:hAnsi="Arial" w:cs="Arial"/>
                <w:b/>
                <w:bCs/>
              </w:rPr>
            </w:pPr>
            <w:r w:rsidRPr="00BC4C68">
              <w:rPr>
                <w:rFonts w:ascii="Arial" w:hAnsi="Arial" w:cs="Arial"/>
                <w:b/>
                <w:bCs/>
              </w:rPr>
              <w:t>Theme</w:t>
            </w:r>
          </w:p>
        </w:tc>
        <w:tc>
          <w:tcPr>
            <w:tcW w:w="6147" w:type="dxa"/>
          </w:tcPr>
          <w:p w14:paraId="152410E2" w14:textId="77777777" w:rsidR="00E63A02" w:rsidRPr="00BC4C68" w:rsidRDefault="00E63A02" w:rsidP="005E0D00">
            <w:pPr>
              <w:jc w:val="center"/>
              <w:rPr>
                <w:rFonts w:ascii="Arial" w:hAnsi="Arial" w:cs="Arial"/>
                <w:b/>
                <w:bCs/>
              </w:rPr>
            </w:pPr>
            <w:r w:rsidRPr="00BC4C68">
              <w:rPr>
                <w:rFonts w:ascii="Arial" w:hAnsi="Arial" w:cs="Arial"/>
                <w:b/>
                <w:bCs/>
              </w:rPr>
              <w:t>Action/Learning</w:t>
            </w:r>
          </w:p>
        </w:tc>
      </w:tr>
      <w:tr w:rsidR="00E63A02" w:rsidRPr="00BC4C68" w14:paraId="14158E00" w14:textId="77777777" w:rsidTr="00E24F77">
        <w:tc>
          <w:tcPr>
            <w:tcW w:w="2547" w:type="dxa"/>
          </w:tcPr>
          <w:p w14:paraId="0C838A26" w14:textId="1D9833A4" w:rsidR="00E63A02" w:rsidRPr="00BC4C68" w:rsidRDefault="009B3DB1" w:rsidP="005E0D00">
            <w:pPr>
              <w:spacing w:after="160" w:line="259" w:lineRule="auto"/>
              <w:rPr>
                <w:rFonts w:ascii="Arial" w:hAnsi="Arial" w:cs="Arial"/>
              </w:rPr>
            </w:pPr>
            <w:r w:rsidRPr="00BC4C68">
              <w:rPr>
                <w:rFonts w:ascii="Arial" w:hAnsi="Arial" w:cs="Arial"/>
              </w:rPr>
              <w:t xml:space="preserve">Residents aren’t always kept up to date on the progress of repairs </w:t>
            </w:r>
          </w:p>
        </w:tc>
        <w:tc>
          <w:tcPr>
            <w:tcW w:w="6147" w:type="dxa"/>
          </w:tcPr>
          <w:p w14:paraId="75B82D6C" w14:textId="77777777" w:rsidR="00E63A02" w:rsidRPr="00BC4C68" w:rsidRDefault="00E63A02" w:rsidP="005E0D00">
            <w:pPr>
              <w:rPr>
                <w:rFonts w:ascii="Arial" w:hAnsi="Arial" w:cs="Arial"/>
              </w:rPr>
            </w:pPr>
            <w:r w:rsidRPr="00BC4C68">
              <w:rPr>
                <w:rFonts w:ascii="Arial" w:hAnsi="Arial" w:cs="Arial"/>
              </w:rPr>
              <w:t>A working group has been established with clear terms of reference to agree workable solutions.</w:t>
            </w:r>
          </w:p>
          <w:p w14:paraId="3333515B" w14:textId="1E4C6C7F" w:rsidR="00F54ECC" w:rsidRPr="00BC4C68" w:rsidRDefault="00F54ECC" w:rsidP="00F54ECC">
            <w:pPr>
              <w:rPr>
                <w:rFonts w:ascii="Arial" w:hAnsi="Arial" w:cs="Arial"/>
              </w:rPr>
            </w:pPr>
            <w:r w:rsidRPr="00BC4C68">
              <w:rPr>
                <w:rFonts w:ascii="Arial" w:hAnsi="Arial" w:cs="Arial"/>
              </w:rPr>
              <w:t>Progress has been made in a few areas:</w:t>
            </w:r>
          </w:p>
          <w:p w14:paraId="75B6ED5E" w14:textId="0308581B" w:rsidR="00F54ECC" w:rsidRPr="00BC4C68" w:rsidRDefault="00F54ECC" w:rsidP="00296F23">
            <w:pPr>
              <w:pStyle w:val="ListParagraph"/>
              <w:numPr>
                <w:ilvl w:val="0"/>
                <w:numId w:val="23"/>
              </w:numPr>
              <w:rPr>
                <w:rFonts w:ascii="Arial" w:hAnsi="Arial" w:cs="Arial"/>
              </w:rPr>
            </w:pPr>
            <w:r w:rsidRPr="00BC4C68">
              <w:rPr>
                <w:rFonts w:ascii="Arial" w:hAnsi="Arial" w:cs="Arial"/>
              </w:rPr>
              <w:t>H</w:t>
            </w:r>
            <w:r w:rsidR="009B3DB1" w:rsidRPr="00BC4C68">
              <w:rPr>
                <w:rFonts w:ascii="Arial" w:hAnsi="Arial" w:cs="Arial"/>
              </w:rPr>
              <w:t>istory notes are now being added to Pyramid</w:t>
            </w:r>
            <w:r w:rsidRPr="00BC4C68">
              <w:rPr>
                <w:rFonts w:ascii="Arial" w:hAnsi="Arial" w:cs="Arial"/>
              </w:rPr>
              <w:t xml:space="preserve"> which allows for an </w:t>
            </w:r>
            <w:proofErr w:type="gramStart"/>
            <w:r w:rsidRPr="00BC4C68">
              <w:rPr>
                <w:rFonts w:ascii="Arial" w:hAnsi="Arial" w:cs="Arial"/>
              </w:rPr>
              <w:t>up to date</w:t>
            </w:r>
            <w:proofErr w:type="gramEnd"/>
            <w:r w:rsidRPr="00BC4C68">
              <w:rPr>
                <w:rFonts w:ascii="Arial" w:hAnsi="Arial" w:cs="Arial"/>
              </w:rPr>
              <w:t xml:space="preserve"> status on a repair which can be shared with the resident</w:t>
            </w:r>
            <w:r w:rsidR="009B3DB1" w:rsidRPr="00BC4C68">
              <w:rPr>
                <w:rFonts w:ascii="Arial" w:hAnsi="Arial" w:cs="Arial"/>
              </w:rPr>
              <w:t>.</w:t>
            </w:r>
          </w:p>
          <w:p w14:paraId="07ABC8E0" w14:textId="77777777" w:rsidR="00F54ECC" w:rsidRPr="00BC4C68" w:rsidRDefault="00F54ECC" w:rsidP="00296F23">
            <w:pPr>
              <w:pStyle w:val="ListParagraph"/>
              <w:numPr>
                <w:ilvl w:val="0"/>
                <w:numId w:val="23"/>
              </w:numPr>
              <w:rPr>
                <w:rFonts w:ascii="Arial" w:hAnsi="Arial" w:cs="Arial"/>
              </w:rPr>
            </w:pPr>
            <w:r w:rsidRPr="00BC4C68">
              <w:rPr>
                <w:rFonts w:ascii="Arial" w:hAnsi="Arial" w:cs="Arial"/>
              </w:rPr>
              <w:t xml:space="preserve">An </w:t>
            </w:r>
            <w:r w:rsidR="009B3DB1" w:rsidRPr="00BC4C68">
              <w:rPr>
                <w:rFonts w:ascii="Arial" w:hAnsi="Arial" w:cs="Arial"/>
              </w:rPr>
              <w:t>escalation process</w:t>
            </w:r>
            <w:r w:rsidRPr="00BC4C68">
              <w:rPr>
                <w:rFonts w:ascii="Arial" w:hAnsi="Arial" w:cs="Arial"/>
              </w:rPr>
              <w:t xml:space="preserve"> has been established to ensure issues are raised upwards when needed.</w:t>
            </w:r>
          </w:p>
          <w:p w14:paraId="2F2212EC" w14:textId="77777777" w:rsidR="00F54ECC" w:rsidRPr="00BC4C68" w:rsidRDefault="00F54ECC" w:rsidP="00296F23">
            <w:pPr>
              <w:pStyle w:val="ListParagraph"/>
              <w:numPr>
                <w:ilvl w:val="0"/>
                <w:numId w:val="23"/>
              </w:numPr>
              <w:rPr>
                <w:rFonts w:ascii="Arial" w:hAnsi="Arial" w:cs="Arial"/>
              </w:rPr>
            </w:pPr>
            <w:r w:rsidRPr="00BC4C68">
              <w:rPr>
                <w:rFonts w:ascii="Arial" w:hAnsi="Arial" w:cs="Arial"/>
              </w:rPr>
              <w:t>Solutions have been identified in the way Pyramid can provide data to improve how repairs are tracked, followed up and linked where needed</w:t>
            </w:r>
          </w:p>
          <w:p w14:paraId="2D5795AB" w14:textId="47903F2B" w:rsidR="009B3DB1" w:rsidRPr="00BC4C68" w:rsidRDefault="00F54ECC" w:rsidP="00296F23">
            <w:pPr>
              <w:pStyle w:val="ListParagraph"/>
              <w:numPr>
                <w:ilvl w:val="0"/>
                <w:numId w:val="23"/>
              </w:numPr>
              <w:rPr>
                <w:rFonts w:ascii="Arial" w:hAnsi="Arial" w:cs="Arial"/>
              </w:rPr>
            </w:pPr>
            <w:r w:rsidRPr="00BC4C68">
              <w:rPr>
                <w:rFonts w:ascii="Arial" w:hAnsi="Arial" w:cs="Arial"/>
              </w:rPr>
              <w:t>We are working towards having a Residents’ Portal on our website where residents can access their own</w:t>
            </w:r>
            <w:r w:rsidR="00296F23" w:rsidRPr="00BC4C68">
              <w:rPr>
                <w:rFonts w:ascii="Arial" w:hAnsi="Arial" w:cs="Arial"/>
              </w:rPr>
              <w:t xml:space="preserve"> information on repairs</w:t>
            </w:r>
            <w:r w:rsidR="009B3DB1" w:rsidRPr="00BC4C68">
              <w:rPr>
                <w:rFonts w:ascii="Arial" w:hAnsi="Arial" w:cs="Arial"/>
              </w:rPr>
              <w:t xml:space="preserve"> </w:t>
            </w:r>
          </w:p>
        </w:tc>
      </w:tr>
      <w:tr w:rsidR="00E63A02" w:rsidRPr="00BC4C68" w14:paraId="265F40C6" w14:textId="77777777" w:rsidTr="00E24F77">
        <w:tc>
          <w:tcPr>
            <w:tcW w:w="2547" w:type="dxa"/>
          </w:tcPr>
          <w:p w14:paraId="19F5576A" w14:textId="715608DD" w:rsidR="00E63A02" w:rsidRPr="00BC4C68" w:rsidRDefault="00296F23" w:rsidP="005E0D00">
            <w:pPr>
              <w:spacing w:after="160" w:line="259" w:lineRule="auto"/>
              <w:rPr>
                <w:rFonts w:ascii="Arial" w:hAnsi="Arial" w:cs="Arial"/>
              </w:rPr>
            </w:pPr>
            <w:r w:rsidRPr="00BC4C68">
              <w:rPr>
                <w:rFonts w:ascii="Arial" w:hAnsi="Arial" w:cs="Arial"/>
              </w:rPr>
              <w:t xml:space="preserve">Inadequate </w:t>
            </w:r>
            <w:r w:rsidR="00E63A02" w:rsidRPr="00BC4C68">
              <w:rPr>
                <w:rFonts w:ascii="Arial" w:hAnsi="Arial" w:cs="Arial"/>
              </w:rPr>
              <w:t xml:space="preserve">communication </w:t>
            </w:r>
            <w:r w:rsidRPr="00BC4C68">
              <w:rPr>
                <w:rFonts w:ascii="Arial" w:hAnsi="Arial" w:cs="Arial"/>
              </w:rPr>
              <w:t>from contractors to</w:t>
            </w:r>
            <w:r w:rsidR="00E63A02" w:rsidRPr="00BC4C68">
              <w:rPr>
                <w:rFonts w:ascii="Arial" w:hAnsi="Arial" w:cs="Arial"/>
              </w:rPr>
              <w:t xml:space="preserve"> staff and residents</w:t>
            </w:r>
          </w:p>
          <w:p w14:paraId="742746EF" w14:textId="1A1EE0E9" w:rsidR="00E63A02" w:rsidRPr="00BC4C68" w:rsidRDefault="00E63A02" w:rsidP="005E0D00">
            <w:pPr>
              <w:spacing w:after="160" w:line="259" w:lineRule="auto"/>
              <w:rPr>
                <w:rFonts w:ascii="Arial" w:hAnsi="Arial" w:cs="Arial"/>
              </w:rPr>
            </w:pPr>
          </w:p>
        </w:tc>
        <w:tc>
          <w:tcPr>
            <w:tcW w:w="6147" w:type="dxa"/>
          </w:tcPr>
          <w:p w14:paraId="16AF4599" w14:textId="77777777" w:rsidR="00296F23" w:rsidRPr="00BC4C68" w:rsidRDefault="00E63A02" w:rsidP="005E0D00">
            <w:pPr>
              <w:rPr>
                <w:rFonts w:ascii="Arial" w:hAnsi="Arial" w:cs="Arial"/>
              </w:rPr>
            </w:pPr>
            <w:r w:rsidRPr="00BC4C68">
              <w:rPr>
                <w:rFonts w:ascii="Arial" w:hAnsi="Arial" w:cs="Arial"/>
              </w:rPr>
              <w:t>As above</w:t>
            </w:r>
            <w:r w:rsidR="00296F23" w:rsidRPr="00BC4C68">
              <w:rPr>
                <w:rFonts w:ascii="Arial" w:hAnsi="Arial" w:cs="Arial"/>
              </w:rPr>
              <w:t>.</w:t>
            </w:r>
          </w:p>
          <w:p w14:paraId="0012B6C3" w14:textId="77777777" w:rsidR="00E63A02" w:rsidRPr="00BC4C68" w:rsidRDefault="00296F23" w:rsidP="005E0D00">
            <w:pPr>
              <w:rPr>
                <w:rFonts w:ascii="Arial" w:hAnsi="Arial" w:cs="Arial"/>
              </w:rPr>
            </w:pPr>
            <w:r w:rsidRPr="00BC4C68">
              <w:rPr>
                <w:rFonts w:ascii="Arial" w:hAnsi="Arial" w:cs="Arial"/>
              </w:rPr>
              <w:t>W</w:t>
            </w:r>
            <w:r w:rsidR="00E63A02" w:rsidRPr="00BC4C68">
              <w:rPr>
                <w:rFonts w:ascii="Arial" w:hAnsi="Arial" w:cs="Arial"/>
              </w:rPr>
              <w:t>ork has</w:t>
            </w:r>
            <w:r w:rsidRPr="00BC4C68">
              <w:rPr>
                <w:rFonts w:ascii="Arial" w:hAnsi="Arial" w:cs="Arial"/>
              </w:rPr>
              <w:t xml:space="preserve"> also</w:t>
            </w:r>
            <w:r w:rsidR="00E63A02" w:rsidRPr="00BC4C68">
              <w:rPr>
                <w:rFonts w:ascii="Arial" w:hAnsi="Arial" w:cs="Arial"/>
              </w:rPr>
              <w:t xml:space="preserve"> begun with contractors to explore ‘text ahead’ approach.</w:t>
            </w:r>
          </w:p>
          <w:p w14:paraId="21D93F54" w14:textId="4A88CC03" w:rsidR="00296F23" w:rsidRPr="00BC4C68" w:rsidRDefault="00296F23" w:rsidP="005E0D00">
            <w:pPr>
              <w:rPr>
                <w:rFonts w:ascii="Arial" w:hAnsi="Arial" w:cs="Arial"/>
              </w:rPr>
            </w:pPr>
            <w:r w:rsidRPr="00BC4C68">
              <w:rPr>
                <w:rFonts w:ascii="Arial" w:hAnsi="Arial" w:cs="Arial"/>
              </w:rPr>
              <w:t>More regular contract meetings with our main contractors have been re-established</w:t>
            </w:r>
          </w:p>
        </w:tc>
      </w:tr>
      <w:tr w:rsidR="00296F23" w:rsidRPr="00BC4C68" w14:paraId="44A5305E" w14:textId="77777777" w:rsidTr="00E24F77">
        <w:tc>
          <w:tcPr>
            <w:tcW w:w="2547" w:type="dxa"/>
          </w:tcPr>
          <w:p w14:paraId="1459F3D4" w14:textId="6AA12CC6" w:rsidR="00296F23" w:rsidRPr="00BC4C68" w:rsidRDefault="00296F23" w:rsidP="005E0D00">
            <w:pPr>
              <w:spacing w:after="160" w:line="259" w:lineRule="auto"/>
              <w:rPr>
                <w:rFonts w:ascii="Arial" w:hAnsi="Arial" w:cs="Arial"/>
              </w:rPr>
            </w:pPr>
            <w:r w:rsidRPr="00BC4C68">
              <w:rPr>
                <w:rFonts w:ascii="Arial" w:hAnsi="Arial" w:cs="Arial"/>
              </w:rPr>
              <w:lastRenderedPageBreak/>
              <w:t xml:space="preserve">Contractors not completing jobs within timescales </w:t>
            </w:r>
          </w:p>
        </w:tc>
        <w:tc>
          <w:tcPr>
            <w:tcW w:w="6147" w:type="dxa"/>
          </w:tcPr>
          <w:p w14:paraId="460C09FF" w14:textId="1DBDFC2A" w:rsidR="00296F23" w:rsidRPr="00BC4C68" w:rsidRDefault="00296F23" w:rsidP="005E0D00">
            <w:pPr>
              <w:rPr>
                <w:rFonts w:ascii="Arial" w:hAnsi="Arial" w:cs="Arial"/>
              </w:rPr>
            </w:pPr>
            <w:r w:rsidRPr="00BC4C68">
              <w:rPr>
                <w:rFonts w:ascii="Arial" w:hAnsi="Arial" w:cs="Arial"/>
              </w:rPr>
              <w:t>Contract management meetings have been re-established to address this.</w:t>
            </w:r>
          </w:p>
          <w:p w14:paraId="59EBC303" w14:textId="7F535D52" w:rsidR="00296F23" w:rsidRPr="00BC4C68" w:rsidRDefault="00296F23" w:rsidP="00E57818">
            <w:pPr>
              <w:spacing w:before="40" w:after="40"/>
              <w:textAlignment w:val="baseline"/>
              <w:rPr>
                <w:rFonts w:ascii="Arial" w:hAnsi="Arial" w:cs="Arial"/>
              </w:rPr>
            </w:pPr>
          </w:p>
        </w:tc>
      </w:tr>
      <w:tr w:rsidR="00E63A02" w:rsidRPr="00BC4C68" w14:paraId="553C4217" w14:textId="77777777" w:rsidTr="00E24F77">
        <w:tc>
          <w:tcPr>
            <w:tcW w:w="2547" w:type="dxa"/>
          </w:tcPr>
          <w:p w14:paraId="2F44BBCE" w14:textId="4CCEE29A" w:rsidR="00E63A02" w:rsidRPr="00BC4C68" w:rsidRDefault="00E63A02" w:rsidP="005E0D00">
            <w:r w:rsidRPr="00BC4C68">
              <w:rPr>
                <w:rFonts w:ascii="Arial" w:hAnsi="Arial" w:cs="Arial"/>
              </w:rPr>
              <w:t>Professional boundaries/staff behaviour</w:t>
            </w:r>
          </w:p>
        </w:tc>
        <w:tc>
          <w:tcPr>
            <w:tcW w:w="6147" w:type="dxa"/>
          </w:tcPr>
          <w:p w14:paraId="7AE5996F" w14:textId="7AFC93DB" w:rsidR="00E63A02" w:rsidRPr="00BC4C68" w:rsidRDefault="00E63A02" w:rsidP="005E0D00">
            <w:pPr>
              <w:spacing w:after="160" w:line="259" w:lineRule="auto"/>
            </w:pPr>
            <w:r w:rsidRPr="00BC4C68">
              <w:rPr>
                <w:rFonts w:ascii="Arial" w:hAnsi="Arial" w:cs="Arial"/>
              </w:rPr>
              <w:t>Raised with individual Service and Operations Managers to address</w:t>
            </w:r>
          </w:p>
        </w:tc>
      </w:tr>
      <w:tr w:rsidR="00E63A02" w:rsidRPr="00BC4C68" w14:paraId="63F75ACB" w14:textId="77777777" w:rsidTr="00E24F77">
        <w:tc>
          <w:tcPr>
            <w:tcW w:w="2547" w:type="dxa"/>
          </w:tcPr>
          <w:p w14:paraId="03C0557C" w14:textId="341CD1EC" w:rsidR="00E63A02" w:rsidRPr="00BC4C68" w:rsidRDefault="00E63A02" w:rsidP="005E0D00">
            <w:pPr>
              <w:spacing w:after="160" w:line="259" w:lineRule="auto"/>
              <w:rPr>
                <w:rFonts w:ascii="Arial" w:hAnsi="Arial" w:cs="Arial"/>
              </w:rPr>
            </w:pPr>
            <w:r w:rsidRPr="00BC4C68">
              <w:rPr>
                <w:rFonts w:ascii="Arial" w:hAnsi="Arial" w:cs="Arial"/>
              </w:rPr>
              <w:t>Unclear process in relation to immediate evictions from hostels</w:t>
            </w:r>
          </w:p>
          <w:p w14:paraId="049C2375" w14:textId="77777777" w:rsidR="00E63A02" w:rsidRPr="00BC4C68" w:rsidRDefault="00E63A02" w:rsidP="005E0D00"/>
        </w:tc>
        <w:tc>
          <w:tcPr>
            <w:tcW w:w="6147" w:type="dxa"/>
          </w:tcPr>
          <w:p w14:paraId="7508F5D3" w14:textId="46C122E2" w:rsidR="00E63A02" w:rsidRPr="00BC4C68" w:rsidRDefault="00E63A02" w:rsidP="005E0D00">
            <w:pPr>
              <w:rPr>
                <w:rFonts w:ascii="Arial" w:hAnsi="Arial" w:cs="Arial"/>
              </w:rPr>
            </w:pPr>
            <w:r w:rsidRPr="00BC4C68">
              <w:rPr>
                <w:rFonts w:ascii="Arial" w:hAnsi="Arial" w:cs="Arial"/>
              </w:rPr>
              <w:t>A procedure has been developed</w:t>
            </w:r>
            <w:r w:rsidR="00296F23" w:rsidRPr="00BC4C68">
              <w:rPr>
                <w:rFonts w:ascii="Arial" w:hAnsi="Arial" w:cs="Arial"/>
              </w:rPr>
              <w:t>, feedback has been sought from the</w:t>
            </w:r>
            <w:r w:rsidRPr="00BC4C68">
              <w:rPr>
                <w:rFonts w:ascii="Arial" w:hAnsi="Arial" w:cs="Arial"/>
              </w:rPr>
              <w:t xml:space="preserve"> Framework Community </w:t>
            </w:r>
            <w:proofErr w:type="gramStart"/>
            <w:r w:rsidRPr="00BC4C68">
              <w:rPr>
                <w:rFonts w:ascii="Arial" w:hAnsi="Arial" w:cs="Arial"/>
              </w:rPr>
              <w:t>Forum</w:t>
            </w:r>
            <w:proofErr w:type="gramEnd"/>
            <w:r w:rsidRPr="00BC4C68">
              <w:rPr>
                <w:rFonts w:ascii="Arial" w:hAnsi="Arial" w:cs="Arial"/>
              </w:rPr>
              <w:t xml:space="preserve"> </w:t>
            </w:r>
            <w:r w:rsidR="00296F23" w:rsidRPr="00BC4C68">
              <w:rPr>
                <w:rFonts w:ascii="Arial" w:hAnsi="Arial" w:cs="Arial"/>
              </w:rPr>
              <w:t>and the procedure will be included in Standard Operating Procedures</w:t>
            </w:r>
          </w:p>
          <w:p w14:paraId="73CB93F0" w14:textId="77777777" w:rsidR="00E63A02" w:rsidRPr="00BC4C68" w:rsidRDefault="00E63A02" w:rsidP="005E0D00"/>
        </w:tc>
      </w:tr>
      <w:tr w:rsidR="00E63A02" w:rsidRPr="00BC4C68" w14:paraId="582393B6" w14:textId="77777777" w:rsidTr="00E24F77">
        <w:tc>
          <w:tcPr>
            <w:tcW w:w="2547" w:type="dxa"/>
          </w:tcPr>
          <w:p w14:paraId="2362FA49" w14:textId="2597D4E4" w:rsidR="00E63A02" w:rsidRPr="00BC4C68" w:rsidRDefault="00E63A02" w:rsidP="005E0D00">
            <w:pPr>
              <w:spacing w:after="160" w:line="259" w:lineRule="auto"/>
              <w:rPr>
                <w:rFonts w:ascii="Arial" w:hAnsi="Arial" w:cs="Arial"/>
              </w:rPr>
            </w:pPr>
            <w:bookmarkStart w:id="2" w:name="_Hlk197341069"/>
            <w:r w:rsidRPr="00BC4C68">
              <w:rPr>
                <w:rFonts w:ascii="Arial" w:hAnsi="Arial" w:cs="Arial"/>
              </w:rPr>
              <w:t>Staff behaviour concerns at a particular service</w:t>
            </w:r>
          </w:p>
        </w:tc>
        <w:tc>
          <w:tcPr>
            <w:tcW w:w="6147" w:type="dxa"/>
          </w:tcPr>
          <w:p w14:paraId="27288283" w14:textId="7A640859" w:rsidR="00E63A02" w:rsidRPr="00BC4C68" w:rsidRDefault="00E63A02" w:rsidP="005E0D00">
            <w:r w:rsidRPr="00BC4C68">
              <w:rPr>
                <w:rFonts w:ascii="Arial" w:hAnsi="Arial" w:cs="Arial"/>
              </w:rPr>
              <w:t>Raised with Operations Manager and Director</w:t>
            </w:r>
          </w:p>
        </w:tc>
      </w:tr>
      <w:bookmarkEnd w:id="2"/>
      <w:tr w:rsidR="00E63A02" w:rsidRPr="00BC4C68" w14:paraId="2AAA17F2" w14:textId="77777777" w:rsidTr="00E24F77">
        <w:tc>
          <w:tcPr>
            <w:tcW w:w="2547" w:type="dxa"/>
          </w:tcPr>
          <w:p w14:paraId="67E688D4" w14:textId="6C6F1C64" w:rsidR="00E63A02" w:rsidRPr="00BC4C68" w:rsidRDefault="00E63A02" w:rsidP="005E0D00">
            <w:pPr>
              <w:spacing w:after="160" w:line="259" w:lineRule="auto"/>
              <w:rPr>
                <w:rFonts w:ascii="Arial" w:hAnsi="Arial" w:cs="Arial"/>
              </w:rPr>
            </w:pPr>
            <w:r w:rsidRPr="00BC4C68">
              <w:rPr>
                <w:rFonts w:ascii="Arial" w:hAnsi="Arial" w:cs="Arial"/>
              </w:rPr>
              <w:t>Quality of repairs</w:t>
            </w:r>
          </w:p>
          <w:p w14:paraId="121C1372" w14:textId="77777777" w:rsidR="00E63A02" w:rsidRPr="00BC4C68" w:rsidRDefault="00E63A02" w:rsidP="005E0D00"/>
        </w:tc>
        <w:tc>
          <w:tcPr>
            <w:tcW w:w="6147" w:type="dxa"/>
          </w:tcPr>
          <w:p w14:paraId="4D8C322E" w14:textId="77777777" w:rsidR="00E57818" w:rsidRPr="00BC4C68" w:rsidRDefault="00E57818" w:rsidP="00E57818">
            <w:pPr>
              <w:spacing w:before="40" w:after="40"/>
              <w:textAlignment w:val="baseline"/>
              <w:rPr>
                <w:rFonts w:ascii="Arial" w:hAnsi="Arial" w:cs="Arial"/>
              </w:rPr>
            </w:pPr>
            <w:r w:rsidRPr="00BC4C68">
              <w:rPr>
                <w:rFonts w:ascii="Arial" w:hAnsi="Arial" w:cs="Arial"/>
              </w:rPr>
              <w:t>An improved Post Inspection procedure has been developed and will be introduced this year.</w:t>
            </w:r>
          </w:p>
          <w:p w14:paraId="166DDCCA" w14:textId="77777777" w:rsidR="00E57818" w:rsidRPr="00BC4C68" w:rsidRDefault="00E57818" w:rsidP="00E57818">
            <w:pPr>
              <w:spacing w:before="40" w:after="40"/>
              <w:textAlignment w:val="baseline"/>
              <w:rPr>
                <w:rFonts w:ascii="Arial" w:hAnsi="Arial" w:cs="Arial"/>
              </w:rPr>
            </w:pPr>
            <w:r w:rsidRPr="00BC4C68">
              <w:rPr>
                <w:rFonts w:ascii="Arial" w:hAnsi="Arial" w:cs="Arial"/>
              </w:rPr>
              <w:t>Introduction of a Repairs Inspector role</w:t>
            </w:r>
          </w:p>
          <w:p w14:paraId="01801B75" w14:textId="77777777" w:rsidR="00E63A02" w:rsidRPr="00BC4C68" w:rsidRDefault="00E63A02" w:rsidP="005E0D00">
            <w:pPr>
              <w:rPr>
                <w:rFonts w:ascii="Arial" w:hAnsi="Arial" w:cs="Arial"/>
              </w:rPr>
            </w:pPr>
          </w:p>
        </w:tc>
      </w:tr>
      <w:tr w:rsidR="00E63A02" w14:paraId="113FF9B2" w14:textId="77777777" w:rsidTr="00E24F77">
        <w:tc>
          <w:tcPr>
            <w:tcW w:w="2547" w:type="dxa"/>
          </w:tcPr>
          <w:p w14:paraId="7120F191" w14:textId="5B660ED4" w:rsidR="00E63A02" w:rsidRPr="00BC4C68" w:rsidRDefault="00E63A02" w:rsidP="005E0D00">
            <w:pPr>
              <w:spacing w:after="160" w:line="259" w:lineRule="auto"/>
              <w:rPr>
                <w:rFonts w:ascii="Arial" w:hAnsi="Arial" w:cs="Arial"/>
              </w:rPr>
            </w:pPr>
            <w:r w:rsidRPr="00BC4C68">
              <w:rPr>
                <w:rFonts w:ascii="Arial" w:hAnsi="Arial" w:cs="Arial"/>
              </w:rPr>
              <w:t>Disposal and storage of resident belonging</w:t>
            </w:r>
          </w:p>
          <w:p w14:paraId="5A655A7B" w14:textId="2849BB87" w:rsidR="009B3DB1" w:rsidRPr="00BC4C68" w:rsidRDefault="009B3DB1" w:rsidP="005E0D00">
            <w:pPr>
              <w:spacing w:after="160" w:line="259" w:lineRule="auto"/>
              <w:rPr>
                <w:rFonts w:ascii="Arial" w:hAnsi="Arial" w:cs="Arial"/>
              </w:rPr>
            </w:pPr>
          </w:p>
        </w:tc>
        <w:tc>
          <w:tcPr>
            <w:tcW w:w="6147" w:type="dxa"/>
          </w:tcPr>
          <w:p w14:paraId="7D4D1588" w14:textId="6259C0E3" w:rsidR="00E63A02" w:rsidRDefault="00E63A02" w:rsidP="005E0D00">
            <w:r w:rsidRPr="00BC4C68">
              <w:rPr>
                <w:rFonts w:ascii="Arial" w:hAnsi="Arial" w:cs="Arial"/>
              </w:rPr>
              <w:t>The policy is under</w:t>
            </w:r>
            <w:r w:rsidR="00E57818" w:rsidRPr="00BC4C68">
              <w:rPr>
                <w:rFonts w:ascii="Arial" w:hAnsi="Arial" w:cs="Arial"/>
              </w:rPr>
              <w:t xml:space="preserve"> review and will be re-launched once approved</w:t>
            </w:r>
          </w:p>
        </w:tc>
      </w:tr>
    </w:tbl>
    <w:p w14:paraId="031A46AE" w14:textId="77777777" w:rsidR="00E63A02" w:rsidRDefault="00E63A02" w:rsidP="00CB5852">
      <w:pPr>
        <w:spacing w:after="120" w:line="252" w:lineRule="auto"/>
        <w:jc w:val="both"/>
        <w:rPr>
          <w:rFonts w:ascii="Arial" w:hAnsi="Arial" w:cs="Arial"/>
          <w:b/>
          <w:bCs/>
          <w:sz w:val="23"/>
          <w:szCs w:val="23"/>
        </w:rPr>
      </w:pPr>
    </w:p>
    <w:p w14:paraId="223E227D" w14:textId="481FB5EF" w:rsidR="00BC4C68" w:rsidRPr="00011420" w:rsidRDefault="005939A7" w:rsidP="00CB5852">
      <w:pPr>
        <w:spacing w:after="120" w:line="252" w:lineRule="auto"/>
        <w:jc w:val="both"/>
        <w:rPr>
          <w:rFonts w:ascii="Arial" w:hAnsi="Arial" w:cs="Arial"/>
        </w:rPr>
      </w:pPr>
      <w:r w:rsidRPr="00011420">
        <w:rPr>
          <w:rFonts w:ascii="Arial" w:hAnsi="Arial" w:cs="Arial"/>
        </w:rPr>
        <w:t xml:space="preserve">Ensuring that residents know how to make a complaint needs </w:t>
      </w:r>
      <w:r w:rsidR="00E24F77">
        <w:rPr>
          <w:rFonts w:ascii="Arial" w:hAnsi="Arial" w:cs="Arial"/>
        </w:rPr>
        <w:t>continued attention</w:t>
      </w:r>
      <w:r w:rsidRPr="00011420">
        <w:rPr>
          <w:rFonts w:ascii="Arial" w:hAnsi="Arial" w:cs="Arial"/>
        </w:rPr>
        <w:t>.  S</w:t>
      </w:r>
      <w:r w:rsidR="00FC034D" w:rsidRPr="00011420">
        <w:rPr>
          <w:rFonts w:ascii="Arial" w:hAnsi="Arial" w:cs="Arial"/>
        </w:rPr>
        <w:t>taff</w:t>
      </w:r>
      <w:r w:rsidRPr="00011420">
        <w:rPr>
          <w:rFonts w:ascii="Arial" w:hAnsi="Arial" w:cs="Arial"/>
        </w:rPr>
        <w:t xml:space="preserve"> need to ensure they embrace a positive complaint handling culture and not see complaints as negative.  </w:t>
      </w:r>
      <w:r w:rsidR="00FC034D" w:rsidRPr="00011420">
        <w:rPr>
          <w:rFonts w:ascii="Arial" w:hAnsi="Arial" w:cs="Arial"/>
        </w:rPr>
        <w:t xml:space="preserve">We </w:t>
      </w:r>
      <w:r w:rsidRPr="00011420">
        <w:rPr>
          <w:rFonts w:ascii="Arial" w:hAnsi="Arial" w:cs="Arial"/>
        </w:rPr>
        <w:t>need to continue to promote complaints and</w:t>
      </w:r>
      <w:r w:rsidR="00BC4C68" w:rsidRPr="00011420">
        <w:rPr>
          <w:rFonts w:ascii="Arial" w:hAnsi="Arial" w:cs="Arial"/>
        </w:rPr>
        <w:t xml:space="preserve"> </w:t>
      </w:r>
      <w:r w:rsidRPr="00011420">
        <w:rPr>
          <w:rFonts w:ascii="Arial" w:hAnsi="Arial" w:cs="Arial"/>
        </w:rPr>
        <w:t>adhere to Policy and Procedure so we can identify where the improvements are needed and make changes to provide excellent service to our residents.</w:t>
      </w:r>
    </w:p>
    <w:p w14:paraId="1FA471B8" w14:textId="26D5A7EC" w:rsidR="009B3DB1" w:rsidRPr="00011420" w:rsidRDefault="00FC034D" w:rsidP="00CB5852">
      <w:pPr>
        <w:spacing w:after="120" w:line="252" w:lineRule="auto"/>
        <w:jc w:val="both"/>
        <w:rPr>
          <w:rFonts w:ascii="Arial" w:hAnsi="Arial" w:cs="Arial"/>
        </w:rPr>
      </w:pPr>
      <w:r w:rsidRPr="00011420">
        <w:rPr>
          <w:rFonts w:ascii="Arial" w:hAnsi="Arial" w:cs="Arial"/>
        </w:rPr>
        <w:t xml:space="preserve">Work is already underway to identify if there are any </w:t>
      </w:r>
      <w:proofErr w:type="gramStart"/>
      <w:r w:rsidRPr="00011420">
        <w:rPr>
          <w:rFonts w:ascii="Arial" w:hAnsi="Arial" w:cs="Arial"/>
        </w:rPr>
        <w:t>particular services</w:t>
      </w:r>
      <w:proofErr w:type="gramEnd"/>
      <w:r w:rsidRPr="00011420">
        <w:rPr>
          <w:rFonts w:ascii="Arial" w:hAnsi="Arial" w:cs="Arial"/>
        </w:rPr>
        <w:t xml:space="preserve"> where </w:t>
      </w:r>
      <w:r w:rsidR="00011420" w:rsidRPr="00011420">
        <w:rPr>
          <w:rFonts w:ascii="Arial" w:hAnsi="Arial" w:cs="Arial"/>
        </w:rPr>
        <w:t>we haven’t received</w:t>
      </w:r>
      <w:r w:rsidRPr="00011420">
        <w:rPr>
          <w:rFonts w:ascii="Arial" w:hAnsi="Arial" w:cs="Arial"/>
        </w:rPr>
        <w:t xml:space="preserve"> </w:t>
      </w:r>
      <w:r w:rsidR="00011420" w:rsidRPr="00011420">
        <w:rPr>
          <w:rFonts w:ascii="Arial" w:hAnsi="Arial" w:cs="Arial"/>
        </w:rPr>
        <w:t>complaints from residents.  There will be various reasons why, some of which are understandable, for example, a service with only a small number of units; this needs to be interrogated further to establish if there are other reasons that we need to address, for example, staff compliance, lack of knowledge, barriers for residents etc.  We will continue this work over the coming year.</w:t>
      </w:r>
    </w:p>
    <w:p w14:paraId="01A56298" w14:textId="77777777" w:rsidR="009B3DB1" w:rsidRDefault="009B3DB1" w:rsidP="00CB5852">
      <w:pPr>
        <w:spacing w:after="120" w:line="252" w:lineRule="auto"/>
        <w:jc w:val="both"/>
        <w:rPr>
          <w:rFonts w:ascii="Arial" w:hAnsi="Arial" w:cs="Arial"/>
          <w:b/>
          <w:bCs/>
          <w:sz w:val="23"/>
          <w:szCs w:val="23"/>
        </w:rPr>
      </w:pPr>
    </w:p>
    <w:p w14:paraId="51B67592" w14:textId="77777777" w:rsidR="00F42D26" w:rsidRDefault="00F42D26" w:rsidP="00000E08">
      <w:pPr>
        <w:spacing w:after="160" w:line="252" w:lineRule="auto"/>
        <w:jc w:val="both"/>
        <w:rPr>
          <w:rFonts w:ascii="Arial" w:hAnsi="Arial" w:cs="Arial"/>
          <w:b/>
          <w:bCs/>
          <w:sz w:val="23"/>
          <w:szCs w:val="23"/>
          <w:u w:val="single"/>
        </w:rPr>
      </w:pPr>
    </w:p>
    <w:p w14:paraId="49331CA2" w14:textId="12AD301B" w:rsidR="0087167D" w:rsidRDefault="000A5B3A" w:rsidP="009B0971">
      <w:pPr>
        <w:spacing w:line="252" w:lineRule="auto"/>
        <w:jc w:val="right"/>
        <w:rPr>
          <w:rFonts w:ascii="Arial" w:hAnsi="Arial" w:cs="Arial"/>
          <w:b/>
          <w:sz w:val="23"/>
          <w:szCs w:val="23"/>
        </w:rPr>
      </w:pPr>
      <w:bookmarkStart w:id="3" w:name="_Hlk151994455"/>
      <w:r>
        <w:rPr>
          <w:rFonts w:ascii="Arial" w:hAnsi="Arial" w:cs="Arial"/>
          <w:b/>
          <w:sz w:val="23"/>
          <w:szCs w:val="23"/>
        </w:rPr>
        <w:t>Sarah Cottrell</w:t>
      </w:r>
    </w:p>
    <w:p w14:paraId="44CC1FDA" w14:textId="3EA941DB" w:rsidR="000A5B3A" w:rsidRDefault="000A5B3A" w:rsidP="009B0971">
      <w:pPr>
        <w:spacing w:line="252" w:lineRule="auto"/>
        <w:jc w:val="right"/>
        <w:rPr>
          <w:rFonts w:ascii="Arial" w:hAnsi="Arial" w:cs="Arial"/>
          <w:b/>
          <w:sz w:val="23"/>
          <w:szCs w:val="23"/>
        </w:rPr>
      </w:pPr>
      <w:r>
        <w:rPr>
          <w:rFonts w:ascii="Arial" w:hAnsi="Arial" w:cs="Arial"/>
          <w:b/>
          <w:sz w:val="23"/>
          <w:szCs w:val="23"/>
        </w:rPr>
        <w:t>Assistant Director Housing Services</w:t>
      </w:r>
    </w:p>
    <w:p w14:paraId="1492A06C" w14:textId="065E3396" w:rsidR="000A5B3A" w:rsidRPr="00000E08" w:rsidRDefault="000A5B3A" w:rsidP="009B0971">
      <w:pPr>
        <w:spacing w:line="252" w:lineRule="auto"/>
        <w:jc w:val="right"/>
        <w:rPr>
          <w:rFonts w:ascii="Arial" w:hAnsi="Arial" w:cs="Arial"/>
          <w:b/>
          <w:sz w:val="23"/>
          <w:szCs w:val="23"/>
        </w:rPr>
      </w:pPr>
      <w:r>
        <w:rPr>
          <w:rFonts w:ascii="Arial" w:hAnsi="Arial" w:cs="Arial"/>
          <w:b/>
          <w:sz w:val="23"/>
          <w:szCs w:val="23"/>
        </w:rPr>
        <w:t>1</w:t>
      </w:r>
      <w:r>
        <w:rPr>
          <w:rFonts w:ascii="Arial" w:hAnsi="Arial" w:cs="Arial"/>
          <w:b/>
          <w:sz w:val="23"/>
          <w:szCs w:val="23"/>
          <w:vertAlign w:val="superscript"/>
        </w:rPr>
        <w:t xml:space="preserve">st </w:t>
      </w:r>
      <w:r>
        <w:rPr>
          <w:rFonts w:ascii="Arial" w:hAnsi="Arial" w:cs="Arial"/>
          <w:b/>
          <w:sz w:val="23"/>
          <w:szCs w:val="23"/>
        </w:rPr>
        <w:t>May 2025</w:t>
      </w:r>
    </w:p>
    <w:p w14:paraId="48DE4D11" w14:textId="77777777" w:rsidR="0087167D" w:rsidRDefault="0087167D" w:rsidP="00000E08">
      <w:pPr>
        <w:jc w:val="both"/>
        <w:rPr>
          <w:rFonts w:ascii="Arial" w:hAnsi="Arial" w:cs="Arial"/>
          <w:b/>
          <w:sz w:val="23"/>
          <w:szCs w:val="23"/>
        </w:rPr>
      </w:pPr>
    </w:p>
    <w:p w14:paraId="5F72C023" w14:textId="77777777" w:rsidR="00FC6F21" w:rsidRDefault="00FC6F21" w:rsidP="00000E08">
      <w:pPr>
        <w:jc w:val="both"/>
        <w:rPr>
          <w:rFonts w:ascii="Arial" w:hAnsi="Arial" w:cs="Arial"/>
          <w:b/>
          <w:sz w:val="23"/>
          <w:szCs w:val="23"/>
        </w:rPr>
      </w:pPr>
    </w:p>
    <w:p w14:paraId="0D0E83DE" w14:textId="77777777" w:rsidR="00FC6F21" w:rsidRDefault="00FC6F21" w:rsidP="00000E08">
      <w:pPr>
        <w:jc w:val="both"/>
        <w:rPr>
          <w:rFonts w:ascii="Arial" w:hAnsi="Arial" w:cs="Arial"/>
          <w:b/>
          <w:sz w:val="23"/>
          <w:szCs w:val="23"/>
        </w:rPr>
      </w:pPr>
    </w:p>
    <w:p w14:paraId="03515D8C" w14:textId="77777777" w:rsidR="00FC6F21" w:rsidRPr="00000E08" w:rsidRDefault="00FC6F21" w:rsidP="00000E08">
      <w:pPr>
        <w:jc w:val="both"/>
        <w:rPr>
          <w:rFonts w:ascii="Arial" w:hAnsi="Arial" w:cs="Arial"/>
          <w:b/>
          <w:sz w:val="23"/>
          <w:szCs w:val="23"/>
        </w:rPr>
      </w:pPr>
    </w:p>
    <w:p w14:paraId="133F5354" w14:textId="77777777" w:rsidR="00613B78" w:rsidRPr="00000E08" w:rsidRDefault="00613B78" w:rsidP="00000E08">
      <w:pPr>
        <w:jc w:val="both"/>
        <w:rPr>
          <w:rFonts w:ascii="Arial" w:hAnsi="Arial" w:cs="Arial"/>
          <w:b/>
          <w:sz w:val="23"/>
          <w:szCs w:val="23"/>
        </w:rPr>
      </w:pPr>
    </w:p>
    <w:bookmarkEnd w:id="3"/>
    <w:p w14:paraId="71B3CADD" w14:textId="6A983C7E" w:rsidR="00EE2F4A" w:rsidRPr="00EE2F4A" w:rsidRDefault="00FC6F21" w:rsidP="00EE2F4A">
      <w:pPr>
        <w:spacing w:line="252" w:lineRule="auto"/>
        <w:jc w:val="both"/>
        <w:rPr>
          <w:rFonts w:ascii="Arial" w:hAnsi="Arial" w:cs="Arial"/>
          <w:b/>
          <w:bCs/>
          <w:sz w:val="23"/>
          <w:szCs w:val="23"/>
        </w:rPr>
      </w:pPr>
      <w:r>
        <w:rPr>
          <w:rFonts w:ascii="Arial" w:hAnsi="Arial" w:cs="Arial"/>
          <w:b/>
          <w:bCs/>
          <w:sz w:val="23"/>
          <w:szCs w:val="23"/>
        </w:rPr>
        <w:lastRenderedPageBreak/>
        <w:t>Framework’s Board response to this report</w:t>
      </w:r>
    </w:p>
    <w:p w14:paraId="197A66CA" w14:textId="77777777" w:rsidR="00EE2F4A" w:rsidRPr="00EE2F4A" w:rsidRDefault="00EE2F4A" w:rsidP="00EE2F4A">
      <w:pPr>
        <w:spacing w:line="252" w:lineRule="auto"/>
        <w:jc w:val="both"/>
        <w:rPr>
          <w:rFonts w:ascii="Arial" w:hAnsi="Arial" w:cs="Arial"/>
          <w:bCs/>
          <w:sz w:val="23"/>
          <w:szCs w:val="23"/>
        </w:rPr>
      </w:pPr>
    </w:p>
    <w:p w14:paraId="07C61972" w14:textId="77777777" w:rsidR="00EE2F4A" w:rsidRPr="00EE2F4A" w:rsidRDefault="00EE2F4A" w:rsidP="00EE2F4A">
      <w:pPr>
        <w:spacing w:line="252" w:lineRule="auto"/>
        <w:jc w:val="both"/>
        <w:rPr>
          <w:rFonts w:ascii="Arial" w:hAnsi="Arial" w:cs="Arial"/>
          <w:bCs/>
          <w:sz w:val="23"/>
          <w:szCs w:val="23"/>
        </w:rPr>
      </w:pPr>
      <w:r w:rsidRPr="00EE2F4A">
        <w:rPr>
          <w:rFonts w:ascii="Arial" w:hAnsi="Arial" w:cs="Arial"/>
          <w:bCs/>
          <w:sz w:val="23"/>
          <w:szCs w:val="23"/>
        </w:rPr>
        <w:t>Framework’s Board has received the organisation’s Annual Self-Assessment of Compliance with the Housing Ombudsman’s Complaint Handling Code.  It notes the accompanying Performance Report including areas identified for improvement.</w:t>
      </w:r>
    </w:p>
    <w:p w14:paraId="55CAD785" w14:textId="77777777" w:rsidR="00EE2F4A" w:rsidRPr="00EE2F4A" w:rsidRDefault="00EE2F4A" w:rsidP="00EE2F4A">
      <w:pPr>
        <w:spacing w:line="252" w:lineRule="auto"/>
        <w:jc w:val="both"/>
        <w:rPr>
          <w:rFonts w:ascii="Arial" w:hAnsi="Arial" w:cs="Arial"/>
          <w:bCs/>
          <w:sz w:val="23"/>
          <w:szCs w:val="23"/>
        </w:rPr>
      </w:pPr>
      <w:r w:rsidRPr="00EE2F4A">
        <w:rPr>
          <w:rFonts w:ascii="Arial" w:hAnsi="Arial" w:cs="Arial"/>
          <w:bCs/>
          <w:sz w:val="23"/>
          <w:szCs w:val="23"/>
        </w:rPr>
        <w:t xml:space="preserve">The Board is committed to ensuring that there is a positive complaints culture in the organisation.  The Leadership Team has created a strong procedure to embed such a culture across the organisation, whilst recognising that more work is needed to enhance the collation of complaints data and to use it to drive service improvement. </w:t>
      </w:r>
    </w:p>
    <w:p w14:paraId="61BAF07E" w14:textId="77777777" w:rsidR="00EE2F4A" w:rsidRPr="00EE2F4A" w:rsidRDefault="00EE2F4A" w:rsidP="00EE2F4A">
      <w:pPr>
        <w:spacing w:line="252" w:lineRule="auto"/>
        <w:jc w:val="both"/>
        <w:rPr>
          <w:rFonts w:ascii="Arial" w:hAnsi="Arial" w:cs="Arial"/>
          <w:bCs/>
          <w:sz w:val="23"/>
          <w:szCs w:val="23"/>
        </w:rPr>
      </w:pPr>
      <w:r w:rsidRPr="00EE2F4A">
        <w:rPr>
          <w:rFonts w:ascii="Arial" w:hAnsi="Arial" w:cs="Arial"/>
          <w:bCs/>
          <w:sz w:val="23"/>
          <w:szCs w:val="23"/>
        </w:rPr>
        <w:t>A plan is in place to deliver this, which includes further staff training and the allocation of further dedicated resource to the management of complaints. Complaints are now considered on a Quarterly basis by the Service Delivery Committee.  The information it receives is summarised in this Annual Report to the Board.</w:t>
      </w:r>
    </w:p>
    <w:p w14:paraId="7F6C824C" w14:textId="77777777" w:rsidR="00324EFD" w:rsidRPr="00000E08" w:rsidRDefault="00324EFD" w:rsidP="00000E08">
      <w:pPr>
        <w:spacing w:line="252" w:lineRule="auto"/>
        <w:jc w:val="both"/>
        <w:rPr>
          <w:rFonts w:ascii="Arial" w:hAnsi="Arial" w:cs="Arial"/>
          <w:bCs/>
          <w:sz w:val="23"/>
          <w:szCs w:val="23"/>
        </w:rPr>
      </w:pPr>
    </w:p>
    <w:sectPr w:rsidR="00324EFD" w:rsidRPr="00000E08" w:rsidSect="00000E08">
      <w:footerReference w:type="default" r:id="rId8"/>
      <w:pgSz w:w="12240" w:h="15840"/>
      <w:pgMar w:top="1191" w:right="1474" w:bottom="907" w:left="1474" w:header="709"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4A911" w14:textId="77777777" w:rsidR="0000665D" w:rsidRDefault="0000665D" w:rsidP="001A6E4E">
      <w:r>
        <w:separator/>
      </w:r>
    </w:p>
  </w:endnote>
  <w:endnote w:type="continuationSeparator" w:id="0">
    <w:p w14:paraId="643098E2" w14:textId="77777777" w:rsidR="0000665D" w:rsidRDefault="0000665D" w:rsidP="001A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972017"/>
      <w:docPartObj>
        <w:docPartGallery w:val="Page Numbers (Bottom of Page)"/>
        <w:docPartUnique/>
      </w:docPartObj>
    </w:sdtPr>
    <w:sdtEndPr>
      <w:rPr>
        <w:rFonts w:ascii="Arial" w:hAnsi="Arial" w:cs="Arial"/>
        <w:noProof/>
        <w:sz w:val="18"/>
        <w:szCs w:val="18"/>
      </w:rPr>
    </w:sdtEndPr>
    <w:sdtContent>
      <w:p w14:paraId="3DC6BE19" w14:textId="77777777" w:rsidR="004354E7" w:rsidRPr="004354E7" w:rsidRDefault="004354E7" w:rsidP="0079073D">
        <w:pPr>
          <w:pStyle w:val="Footer"/>
          <w:jc w:val="center"/>
          <w:rPr>
            <w:rFonts w:ascii="Arial" w:hAnsi="Arial" w:cs="Arial"/>
            <w:sz w:val="18"/>
            <w:szCs w:val="18"/>
          </w:rPr>
        </w:pPr>
        <w:r w:rsidRPr="004354E7">
          <w:rPr>
            <w:rFonts w:ascii="Arial" w:hAnsi="Arial" w:cs="Arial"/>
            <w:sz w:val="18"/>
            <w:szCs w:val="18"/>
          </w:rPr>
          <w:fldChar w:fldCharType="begin"/>
        </w:r>
        <w:r w:rsidRPr="004354E7">
          <w:rPr>
            <w:rFonts w:ascii="Arial" w:hAnsi="Arial" w:cs="Arial"/>
            <w:sz w:val="18"/>
            <w:szCs w:val="18"/>
          </w:rPr>
          <w:instrText xml:space="preserve"> PAGE   \* MERGEFORMAT </w:instrText>
        </w:r>
        <w:r w:rsidRPr="004354E7">
          <w:rPr>
            <w:rFonts w:ascii="Arial" w:hAnsi="Arial" w:cs="Arial"/>
            <w:sz w:val="18"/>
            <w:szCs w:val="18"/>
          </w:rPr>
          <w:fldChar w:fldCharType="separate"/>
        </w:r>
        <w:r w:rsidRPr="004354E7">
          <w:rPr>
            <w:rFonts w:ascii="Arial" w:hAnsi="Arial" w:cs="Arial"/>
            <w:noProof/>
            <w:sz w:val="18"/>
            <w:szCs w:val="18"/>
          </w:rPr>
          <w:t>2</w:t>
        </w:r>
        <w:r w:rsidRPr="004354E7">
          <w:rPr>
            <w:rFonts w:ascii="Arial" w:hAnsi="Arial" w:cs="Arial"/>
            <w:noProof/>
            <w:sz w:val="18"/>
            <w:szCs w:val="18"/>
          </w:rPr>
          <w:fldChar w:fldCharType="end"/>
        </w:r>
      </w:p>
    </w:sdtContent>
  </w:sdt>
  <w:p w14:paraId="0C779004" w14:textId="77777777" w:rsidR="004354E7" w:rsidRDefault="00435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C4AC1" w14:textId="77777777" w:rsidR="0000665D" w:rsidRDefault="0000665D" w:rsidP="001A6E4E">
      <w:r>
        <w:separator/>
      </w:r>
    </w:p>
  </w:footnote>
  <w:footnote w:type="continuationSeparator" w:id="0">
    <w:p w14:paraId="3BF79F7A" w14:textId="77777777" w:rsidR="0000665D" w:rsidRDefault="0000665D" w:rsidP="001A6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62E1"/>
    <w:multiLevelType w:val="hybridMultilevel"/>
    <w:tmpl w:val="E87C8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54ED4"/>
    <w:multiLevelType w:val="hybridMultilevel"/>
    <w:tmpl w:val="9D28A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87AEC"/>
    <w:multiLevelType w:val="hybridMultilevel"/>
    <w:tmpl w:val="E5E28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07B8C"/>
    <w:multiLevelType w:val="hybridMultilevel"/>
    <w:tmpl w:val="F2B0D5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452567"/>
    <w:multiLevelType w:val="hybridMultilevel"/>
    <w:tmpl w:val="1D047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0A34D7B"/>
    <w:multiLevelType w:val="hybridMultilevel"/>
    <w:tmpl w:val="5216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D4888"/>
    <w:multiLevelType w:val="hybridMultilevel"/>
    <w:tmpl w:val="867847B0"/>
    <w:lvl w:ilvl="0" w:tplc="FFFFFFFF">
      <w:start w:val="1"/>
      <w:numFmt w:val="lowerLetter"/>
      <w:lvlText w:val="%1)"/>
      <w:lvlJc w:val="left"/>
      <w:pPr>
        <w:ind w:left="473" w:hanging="360"/>
      </w:pPr>
      <w:rPr>
        <w:rFonts w:hint="default"/>
        <w:b w:val="0"/>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7" w15:restartNumberingAfterBreak="0">
    <w:nsid w:val="30BA01C2"/>
    <w:multiLevelType w:val="hybridMultilevel"/>
    <w:tmpl w:val="246E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253A0C"/>
    <w:multiLevelType w:val="hybridMultilevel"/>
    <w:tmpl w:val="33B0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813649"/>
    <w:multiLevelType w:val="hybridMultilevel"/>
    <w:tmpl w:val="8E444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7F67B9C"/>
    <w:multiLevelType w:val="hybridMultilevel"/>
    <w:tmpl w:val="A1DE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EE2A0C"/>
    <w:multiLevelType w:val="hybridMultilevel"/>
    <w:tmpl w:val="99EED93A"/>
    <w:lvl w:ilvl="0" w:tplc="CDC8F0A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6C5E87"/>
    <w:multiLevelType w:val="hybridMultilevel"/>
    <w:tmpl w:val="ABE26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52242E"/>
    <w:multiLevelType w:val="hybridMultilevel"/>
    <w:tmpl w:val="8FE02B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BBE60C3"/>
    <w:multiLevelType w:val="hybridMultilevel"/>
    <w:tmpl w:val="A3D82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D2C2290"/>
    <w:multiLevelType w:val="hybridMultilevel"/>
    <w:tmpl w:val="5BB216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DCF083C"/>
    <w:multiLevelType w:val="hybridMultilevel"/>
    <w:tmpl w:val="867847B0"/>
    <w:lvl w:ilvl="0" w:tplc="196E113C">
      <w:start w:val="1"/>
      <w:numFmt w:val="lowerLetter"/>
      <w:lvlText w:val="%1)"/>
      <w:lvlJc w:val="left"/>
      <w:pPr>
        <w:ind w:left="473" w:hanging="360"/>
      </w:pPr>
      <w:rPr>
        <w:rFonts w:hint="default"/>
        <w:b w:val="0"/>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7" w15:restartNumberingAfterBreak="0">
    <w:nsid w:val="6C651DA6"/>
    <w:multiLevelType w:val="hybridMultilevel"/>
    <w:tmpl w:val="3328E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C873D8C"/>
    <w:multiLevelType w:val="hybridMultilevel"/>
    <w:tmpl w:val="C854F83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74052C7D"/>
    <w:multiLevelType w:val="hybridMultilevel"/>
    <w:tmpl w:val="D846A318"/>
    <w:lvl w:ilvl="0" w:tplc="CDC8F0A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9649DA"/>
    <w:multiLevelType w:val="hybridMultilevel"/>
    <w:tmpl w:val="DC74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9F17D9"/>
    <w:multiLevelType w:val="hybridMultilevel"/>
    <w:tmpl w:val="083C2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F13B62"/>
    <w:multiLevelType w:val="hybridMultilevel"/>
    <w:tmpl w:val="F0769D9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8034980">
    <w:abstractNumId w:val="17"/>
  </w:num>
  <w:num w:numId="2" w16cid:durableId="311065535">
    <w:abstractNumId w:val="14"/>
  </w:num>
  <w:num w:numId="3" w16cid:durableId="1269702990">
    <w:abstractNumId w:val="15"/>
  </w:num>
  <w:num w:numId="4" w16cid:durableId="728578169">
    <w:abstractNumId w:val="9"/>
  </w:num>
  <w:num w:numId="5" w16cid:durableId="16934623">
    <w:abstractNumId w:val="4"/>
  </w:num>
  <w:num w:numId="6" w16cid:durableId="871379078">
    <w:abstractNumId w:val="19"/>
  </w:num>
  <w:num w:numId="7" w16cid:durableId="351541949">
    <w:abstractNumId w:val="2"/>
  </w:num>
  <w:num w:numId="8" w16cid:durableId="1527712237">
    <w:abstractNumId w:val="11"/>
  </w:num>
  <w:num w:numId="9" w16cid:durableId="1564562884">
    <w:abstractNumId w:val="12"/>
  </w:num>
  <w:num w:numId="10" w16cid:durableId="595600629">
    <w:abstractNumId w:val="8"/>
  </w:num>
  <w:num w:numId="11" w16cid:durableId="1652060376">
    <w:abstractNumId w:val="10"/>
  </w:num>
  <w:num w:numId="12" w16cid:durableId="1825395381">
    <w:abstractNumId w:val="16"/>
  </w:num>
  <w:num w:numId="13" w16cid:durableId="1570769991">
    <w:abstractNumId w:val="20"/>
  </w:num>
  <w:num w:numId="14" w16cid:durableId="456333744">
    <w:abstractNumId w:val="3"/>
  </w:num>
  <w:num w:numId="15" w16cid:durableId="873466212">
    <w:abstractNumId w:val="7"/>
  </w:num>
  <w:num w:numId="16" w16cid:durableId="1252736923">
    <w:abstractNumId w:val="1"/>
  </w:num>
  <w:num w:numId="17" w16cid:durableId="1720661532">
    <w:abstractNumId w:val="0"/>
  </w:num>
  <w:num w:numId="18" w16cid:durableId="405613511">
    <w:abstractNumId w:val="22"/>
  </w:num>
  <w:num w:numId="19" w16cid:durableId="1226838937">
    <w:abstractNumId w:val="6"/>
  </w:num>
  <w:num w:numId="20" w16cid:durableId="12267278">
    <w:abstractNumId w:val="13"/>
  </w:num>
  <w:num w:numId="21" w16cid:durableId="514811293">
    <w:abstractNumId w:val="18"/>
  </w:num>
  <w:num w:numId="22" w16cid:durableId="2111775309">
    <w:abstractNumId w:val="5"/>
  </w:num>
  <w:num w:numId="23" w16cid:durableId="64882398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87F"/>
    <w:rsid w:val="00000E08"/>
    <w:rsid w:val="00004BCE"/>
    <w:rsid w:val="0000551A"/>
    <w:rsid w:val="0000665D"/>
    <w:rsid w:val="00010CE2"/>
    <w:rsid w:val="00011420"/>
    <w:rsid w:val="00021B2C"/>
    <w:rsid w:val="0002607A"/>
    <w:rsid w:val="00036F2B"/>
    <w:rsid w:val="0006338A"/>
    <w:rsid w:val="0006721B"/>
    <w:rsid w:val="00070190"/>
    <w:rsid w:val="000762BD"/>
    <w:rsid w:val="00091694"/>
    <w:rsid w:val="000959C6"/>
    <w:rsid w:val="000A0E71"/>
    <w:rsid w:val="000A3DEB"/>
    <w:rsid w:val="000A5B3A"/>
    <w:rsid w:val="000B73EB"/>
    <w:rsid w:val="000C00CD"/>
    <w:rsid w:val="000C248F"/>
    <w:rsid w:val="000C372B"/>
    <w:rsid w:val="000C4A2C"/>
    <w:rsid w:val="000C5D1E"/>
    <w:rsid w:val="000C7008"/>
    <w:rsid w:val="000D5521"/>
    <w:rsid w:val="000D705A"/>
    <w:rsid w:val="000E0493"/>
    <w:rsid w:val="000E1A86"/>
    <w:rsid w:val="0010195E"/>
    <w:rsid w:val="00102F0E"/>
    <w:rsid w:val="001123A3"/>
    <w:rsid w:val="00117658"/>
    <w:rsid w:val="001176CC"/>
    <w:rsid w:val="001331CA"/>
    <w:rsid w:val="0013433F"/>
    <w:rsid w:val="0013508C"/>
    <w:rsid w:val="001414E5"/>
    <w:rsid w:val="00145340"/>
    <w:rsid w:val="00146393"/>
    <w:rsid w:val="001560ED"/>
    <w:rsid w:val="00156EFB"/>
    <w:rsid w:val="00162991"/>
    <w:rsid w:val="00163DE2"/>
    <w:rsid w:val="001653B8"/>
    <w:rsid w:val="001722F4"/>
    <w:rsid w:val="00181D51"/>
    <w:rsid w:val="00187A7E"/>
    <w:rsid w:val="00187E2A"/>
    <w:rsid w:val="0019125C"/>
    <w:rsid w:val="0019646F"/>
    <w:rsid w:val="001A0615"/>
    <w:rsid w:val="001A403B"/>
    <w:rsid w:val="001A6E4E"/>
    <w:rsid w:val="001B73B1"/>
    <w:rsid w:val="001C543D"/>
    <w:rsid w:val="001D153C"/>
    <w:rsid w:val="001D1EB0"/>
    <w:rsid w:val="001D614D"/>
    <w:rsid w:val="001F5763"/>
    <w:rsid w:val="001F736A"/>
    <w:rsid w:val="00210763"/>
    <w:rsid w:val="00223878"/>
    <w:rsid w:val="00231BC5"/>
    <w:rsid w:val="00251F41"/>
    <w:rsid w:val="00253453"/>
    <w:rsid w:val="00256141"/>
    <w:rsid w:val="00264B4D"/>
    <w:rsid w:val="00264C64"/>
    <w:rsid w:val="00282BE6"/>
    <w:rsid w:val="0029258A"/>
    <w:rsid w:val="002927C5"/>
    <w:rsid w:val="00292F9D"/>
    <w:rsid w:val="00294F96"/>
    <w:rsid w:val="00296F23"/>
    <w:rsid w:val="002A6107"/>
    <w:rsid w:val="002B7B74"/>
    <w:rsid w:val="002B7FC3"/>
    <w:rsid w:val="002C0DD4"/>
    <w:rsid w:val="002C4AB1"/>
    <w:rsid w:val="002D0138"/>
    <w:rsid w:val="002E27E8"/>
    <w:rsid w:val="002E3FDB"/>
    <w:rsid w:val="002F22A5"/>
    <w:rsid w:val="002F7F65"/>
    <w:rsid w:val="00300BC5"/>
    <w:rsid w:val="00307439"/>
    <w:rsid w:val="00317C8F"/>
    <w:rsid w:val="00324D5E"/>
    <w:rsid w:val="00324EFD"/>
    <w:rsid w:val="003301C9"/>
    <w:rsid w:val="00331B60"/>
    <w:rsid w:val="00334D87"/>
    <w:rsid w:val="0034296E"/>
    <w:rsid w:val="00343134"/>
    <w:rsid w:val="00344AA9"/>
    <w:rsid w:val="00351361"/>
    <w:rsid w:val="00356B05"/>
    <w:rsid w:val="00363652"/>
    <w:rsid w:val="00363863"/>
    <w:rsid w:val="00365338"/>
    <w:rsid w:val="003721DC"/>
    <w:rsid w:val="003830C9"/>
    <w:rsid w:val="00390342"/>
    <w:rsid w:val="0039064B"/>
    <w:rsid w:val="0039287F"/>
    <w:rsid w:val="003A06F1"/>
    <w:rsid w:val="003A0A25"/>
    <w:rsid w:val="003A6B54"/>
    <w:rsid w:val="003A73AC"/>
    <w:rsid w:val="003A7407"/>
    <w:rsid w:val="003B042B"/>
    <w:rsid w:val="003B2045"/>
    <w:rsid w:val="003B39B3"/>
    <w:rsid w:val="003B41BC"/>
    <w:rsid w:val="003B7AF9"/>
    <w:rsid w:val="003C1A27"/>
    <w:rsid w:val="003C2115"/>
    <w:rsid w:val="003C5C2D"/>
    <w:rsid w:val="003C6FE4"/>
    <w:rsid w:val="003C7A41"/>
    <w:rsid w:val="003D5C93"/>
    <w:rsid w:val="003E29B7"/>
    <w:rsid w:val="003E6149"/>
    <w:rsid w:val="003F139B"/>
    <w:rsid w:val="003F2A68"/>
    <w:rsid w:val="003F2E82"/>
    <w:rsid w:val="003F5A00"/>
    <w:rsid w:val="004051CA"/>
    <w:rsid w:val="00411C57"/>
    <w:rsid w:val="004133D3"/>
    <w:rsid w:val="00422530"/>
    <w:rsid w:val="0042546B"/>
    <w:rsid w:val="0043059E"/>
    <w:rsid w:val="00430B1D"/>
    <w:rsid w:val="0043178C"/>
    <w:rsid w:val="00431834"/>
    <w:rsid w:val="00431D94"/>
    <w:rsid w:val="0043392A"/>
    <w:rsid w:val="0043464F"/>
    <w:rsid w:val="004354E7"/>
    <w:rsid w:val="00440C95"/>
    <w:rsid w:val="00451348"/>
    <w:rsid w:val="00455318"/>
    <w:rsid w:val="0045609A"/>
    <w:rsid w:val="00461C27"/>
    <w:rsid w:val="00463EDB"/>
    <w:rsid w:val="00465539"/>
    <w:rsid w:val="00465905"/>
    <w:rsid w:val="00465A41"/>
    <w:rsid w:val="004729A7"/>
    <w:rsid w:val="00472EF5"/>
    <w:rsid w:val="004766A7"/>
    <w:rsid w:val="004805A9"/>
    <w:rsid w:val="0049165C"/>
    <w:rsid w:val="004A7202"/>
    <w:rsid w:val="004C049F"/>
    <w:rsid w:val="004C1046"/>
    <w:rsid w:val="004C4962"/>
    <w:rsid w:val="004E319A"/>
    <w:rsid w:val="004E512A"/>
    <w:rsid w:val="004E71F8"/>
    <w:rsid w:val="004F030C"/>
    <w:rsid w:val="004F0390"/>
    <w:rsid w:val="004F0B21"/>
    <w:rsid w:val="004F2674"/>
    <w:rsid w:val="004F3029"/>
    <w:rsid w:val="004F54F4"/>
    <w:rsid w:val="00500031"/>
    <w:rsid w:val="00500B21"/>
    <w:rsid w:val="00500CBC"/>
    <w:rsid w:val="00507233"/>
    <w:rsid w:val="005204C4"/>
    <w:rsid w:val="00530239"/>
    <w:rsid w:val="00531AF9"/>
    <w:rsid w:val="0053757A"/>
    <w:rsid w:val="00537BC2"/>
    <w:rsid w:val="00542CF3"/>
    <w:rsid w:val="005466C6"/>
    <w:rsid w:val="00551FC0"/>
    <w:rsid w:val="005547F6"/>
    <w:rsid w:val="00555D7C"/>
    <w:rsid w:val="00555F84"/>
    <w:rsid w:val="00565015"/>
    <w:rsid w:val="00565D8B"/>
    <w:rsid w:val="005671CD"/>
    <w:rsid w:val="005768EA"/>
    <w:rsid w:val="00577115"/>
    <w:rsid w:val="00582E3A"/>
    <w:rsid w:val="005855CA"/>
    <w:rsid w:val="00586634"/>
    <w:rsid w:val="00592DC5"/>
    <w:rsid w:val="005939A7"/>
    <w:rsid w:val="00597B1B"/>
    <w:rsid w:val="005A3175"/>
    <w:rsid w:val="005A763A"/>
    <w:rsid w:val="005C78D2"/>
    <w:rsid w:val="005D34A9"/>
    <w:rsid w:val="005D3668"/>
    <w:rsid w:val="005E03D1"/>
    <w:rsid w:val="005E2C77"/>
    <w:rsid w:val="005E3989"/>
    <w:rsid w:val="005E72B9"/>
    <w:rsid w:val="005E7B49"/>
    <w:rsid w:val="005E7BD7"/>
    <w:rsid w:val="005F29ED"/>
    <w:rsid w:val="005F3B91"/>
    <w:rsid w:val="00601989"/>
    <w:rsid w:val="0060337E"/>
    <w:rsid w:val="00611320"/>
    <w:rsid w:val="00613B78"/>
    <w:rsid w:val="00615254"/>
    <w:rsid w:val="00617870"/>
    <w:rsid w:val="00624C4F"/>
    <w:rsid w:val="006305B4"/>
    <w:rsid w:val="00631002"/>
    <w:rsid w:val="00642667"/>
    <w:rsid w:val="00646739"/>
    <w:rsid w:val="00652B96"/>
    <w:rsid w:val="00655094"/>
    <w:rsid w:val="00662C48"/>
    <w:rsid w:val="00677FF3"/>
    <w:rsid w:val="00681080"/>
    <w:rsid w:val="0068657C"/>
    <w:rsid w:val="00692D83"/>
    <w:rsid w:val="00695EB4"/>
    <w:rsid w:val="006A437D"/>
    <w:rsid w:val="006A5F03"/>
    <w:rsid w:val="006B0DE3"/>
    <w:rsid w:val="006B2784"/>
    <w:rsid w:val="006B3A85"/>
    <w:rsid w:val="006B5487"/>
    <w:rsid w:val="006C6952"/>
    <w:rsid w:val="006D1C70"/>
    <w:rsid w:val="006D2777"/>
    <w:rsid w:val="006E2CA0"/>
    <w:rsid w:val="006E3CC6"/>
    <w:rsid w:val="006F43D5"/>
    <w:rsid w:val="00706857"/>
    <w:rsid w:val="00714943"/>
    <w:rsid w:val="00716201"/>
    <w:rsid w:val="0071622F"/>
    <w:rsid w:val="00721BA6"/>
    <w:rsid w:val="0072240B"/>
    <w:rsid w:val="00730EF0"/>
    <w:rsid w:val="0073574B"/>
    <w:rsid w:val="00741898"/>
    <w:rsid w:val="00741E10"/>
    <w:rsid w:val="007423D1"/>
    <w:rsid w:val="00745D99"/>
    <w:rsid w:val="00752102"/>
    <w:rsid w:val="00752509"/>
    <w:rsid w:val="007532BA"/>
    <w:rsid w:val="0076211B"/>
    <w:rsid w:val="00764FF7"/>
    <w:rsid w:val="00770572"/>
    <w:rsid w:val="00770965"/>
    <w:rsid w:val="007727C6"/>
    <w:rsid w:val="00774F9A"/>
    <w:rsid w:val="00775FC5"/>
    <w:rsid w:val="00781621"/>
    <w:rsid w:val="00783362"/>
    <w:rsid w:val="0079073D"/>
    <w:rsid w:val="007928F2"/>
    <w:rsid w:val="007963FE"/>
    <w:rsid w:val="007976F2"/>
    <w:rsid w:val="007A51BC"/>
    <w:rsid w:val="007A57C8"/>
    <w:rsid w:val="007A6A94"/>
    <w:rsid w:val="007B0BD6"/>
    <w:rsid w:val="007B3000"/>
    <w:rsid w:val="007B4821"/>
    <w:rsid w:val="007B5FF9"/>
    <w:rsid w:val="007B7166"/>
    <w:rsid w:val="007B76E3"/>
    <w:rsid w:val="007C0391"/>
    <w:rsid w:val="007C145A"/>
    <w:rsid w:val="007D44EB"/>
    <w:rsid w:val="007E18CB"/>
    <w:rsid w:val="007F1B34"/>
    <w:rsid w:val="007F2094"/>
    <w:rsid w:val="007F5AB6"/>
    <w:rsid w:val="00807AF0"/>
    <w:rsid w:val="00812852"/>
    <w:rsid w:val="008219D1"/>
    <w:rsid w:val="0082253B"/>
    <w:rsid w:val="008259FF"/>
    <w:rsid w:val="00843EEF"/>
    <w:rsid w:val="00844D56"/>
    <w:rsid w:val="00850558"/>
    <w:rsid w:val="00852765"/>
    <w:rsid w:val="008565B5"/>
    <w:rsid w:val="00857BC9"/>
    <w:rsid w:val="008607A6"/>
    <w:rsid w:val="008607F8"/>
    <w:rsid w:val="0087167D"/>
    <w:rsid w:val="00876407"/>
    <w:rsid w:val="00884CB8"/>
    <w:rsid w:val="008B3CA1"/>
    <w:rsid w:val="008C5145"/>
    <w:rsid w:val="008C5E8A"/>
    <w:rsid w:val="008C6370"/>
    <w:rsid w:val="008D156B"/>
    <w:rsid w:val="008D60AC"/>
    <w:rsid w:val="008E084B"/>
    <w:rsid w:val="008E5BEB"/>
    <w:rsid w:val="008E5CDD"/>
    <w:rsid w:val="008F0095"/>
    <w:rsid w:val="0090336D"/>
    <w:rsid w:val="00903DCC"/>
    <w:rsid w:val="00905D40"/>
    <w:rsid w:val="0091380A"/>
    <w:rsid w:val="00914D55"/>
    <w:rsid w:val="009243A4"/>
    <w:rsid w:val="00931932"/>
    <w:rsid w:val="0093470A"/>
    <w:rsid w:val="00935C16"/>
    <w:rsid w:val="00936B25"/>
    <w:rsid w:val="00956B82"/>
    <w:rsid w:val="00963FE1"/>
    <w:rsid w:val="00977D48"/>
    <w:rsid w:val="00997259"/>
    <w:rsid w:val="009B0971"/>
    <w:rsid w:val="009B387F"/>
    <w:rsid w:val="009B3DB1"/>
    <w:rsid w:val="009B5D9A"/>
    <w:rsid w:val="009B5F6E"/>
    <w:rsid w:val="009C0121"/>
    <w:rsid w:val="009D3B7B"/>
    <w:rsid w:val="009D65C2"/>
    <w:rsid w:val="009E4CA7"/>
    <w:rsid w:val="009F664C"/>
    <w:rsid w:val="009F7A63"/>
    <w:rsid w:val="00A020B9"/>
    <w:rsid w:val="00A02F13"/>
    <w:rsid w:val="00A04A3A"/>
    <w:rsid w:val="00A064EC"/>
    <w:rsid w:val="00A11184"/>
    <w:rsid w:val="00A117BD"/>
    <w:rsid w:val="00A1206B"/>
    <w:rsid w:val="00A12B09"/>
    <w:rsid w:val="00A203D4"/>
    <w:rsid w:val="00A276E6"/>
    <w:rsid w:val="00A300AC"/>
    <w:rsid w:val="00A536AF"/>
    <w:rsid w:val="00A6013A"/>
    <w:rsid w:val="00A60EB9"/>
    <w:rsid w:val="00A72CAA"/>
    <w:rsid w:val="00A75CD0"/>
    <w:rsid w:val="00A77253"/>
    <w:rsid w:val="00A80DEF"/>
    <w:rsid w:val="00A80E8D"/>
    <w:rsid w:val="00A8163D"/>
    <w:rsid w:val="00A84BF7"/>
    <w:rsid w:val="00A8604B"/>
    <w:rsid w:val="00A92271"/>
    <w:rsid w:val="00A9706A"/>
    <w:rsid w:val="00AA29AA"/>
    <w:rsid w:val="00AA2B9D"/>
    <w:rsid w:val="00AA2D00"/>
    <w:rsid w:val="00AA4D48"/>
    <w:rsid w:val="00AB27EB"/>
    <w:rsid w:val="00AB4D8E"/>
    <w:rsid w:val="00AC4636"/>
    <w:rsid w:val="00AC511D"/>
    <w:rsid w:val="00AC5951"/>
    <w:rsid w:val="00AD442D"/>
    <w:rsid w:val="00AD553F"/>
    <w:rsid w:val="00AF009F"/>
    <w:rsid w:val="00AF0AA5"/>
    <w:rsid w:val="00AF437B"/>
    <w:rsid w:val="00AF6DBE"/>
    <w:rsid w:val="00B11BC4"/>
    <w:rsid w:val="00B13B17"/>
    <w:rsid w:val="00B16F2F"/>
    <w:rsid w:val="00B201AD"/>
    <w:rsid w:val="00B21853"/>
    <w:rsid w:val="00B306FC"/>
    <w:rsid w:val="00B310EA"/>
    <w:rsid w:val="00B32011"/>
    <w:rsid w:val="00B36419"/>
    <w:rsid w:val="00B371BB"/>
    <w:rsid w:val="00B435FD"/>
    <w:rsid w:val="00B5481B"/>
    <w:rsid w:val="00B623ED"/>
    <w:rsid w:val="00B77392"/>
    <w:rsid w:val="00B974F2"/>
    <w:rsid w:val="00BA7F60"/>
    <w:rsid w:val="00BB158A"/>
    <w:rsid w:val="00BB573B"/>
    <w:rsid w:val="00BC4C68"/>
    <w:rsid w:val="00BD0FD1"/>
    <w:rsid w:val="00BD63CC"/>
    <w:rsid w:val="00BE0B9C"/>
    <w:rsid w:val="00BE3209"/>
    <w:rsid w:val="00BF3448"/>
    <w:rsid w:val="00BF6D2C"/>
    <w:rsid w:val="00C02467"/>
    <w:rsid w:val="00C05BB4"/>
    <w:rsid w:val="00C06706"/>
    <w:rsid w:val="00C145B1"/>
    <w:rsid w:val="00C15F15"/>
    <w:rsid w:val="00C263B6"/>
    <w:rsid w:val="00C27EE7"/>
    <w:rsid w:val="00C30E66"/>
    <w:rsid w:val="00C31928"/>
    <w:rsid w:val="00C319CD"/>
    <w:rsid w:val="00C33193"/>
    <w:rsid w:val="00C34FA8"/>
    <w:rsid w:val="00C648E8"/>
    <w:rsid w:val="00C65989"/>
    <w:rsid w:val="00C7015E"/>
    <w:rsid w:val="00C74413"/>
    <w:rsid w:val="00C81ED8"/>
    <w:rsid w:val="00C94536"/>
    <w:rsid w:val="00C97D54"/>
    <w:rsid w:val="00CA27CE"/>
    <w:rsid w:val="00CA45CA"/>
    <w:rsid w:val="00CA508D"/>
    <w:rsid w:val="00CA5E31"/>
    <w:rsid w:val="00CB5852"/>
    <w:rsid w:val="00CB641B"/>
    <w:rsid w:val="00CC3ABB"/>
    <w:rsid w:val="00CC47F8"/>
    <w:rsid w:val="00CC5058"/>
    <w:rsid w:val="00CF61B1"/>
    <w:rsid w:val="00D00373"/>
    <w:rsid w:val="00D147BB"/>
    <w:rsid w:val="00D2368C"/>
    <w:rsid w:val="00D31CBA"/>
    <w:rsid w:val="00D33CFD"/>
    <w:rsid w:val="00D33FBF"/>
    <w:rsid w:val="00D3471F"/>
    <w:rsid w:val="00D37E58"/>
    <w:rsid w:val="00D45883"/>
    <w:rsid w:val="00D56445"/>
    <w:rsid w:val="00D56B0B"/>
    <w:rsid w:val="00D62F00"/>
    <w:rsid w:val="00D63B17"/>
    <w:rsid w:val="00D64AAB"/>
    <w:rsid w:val="00D64DC2"/>
    <w:rsid w:val="00D677C8"/>
    <w:rsid w:val="00D71521"/>
    <w:rsid w:val="00D71F64"/>
    <w:rsid w:val="00D73F39"/>
    <w:rsid w:val="00D92573"/>
    <w:rsid w:val="00D9601B"/>
    <w:rsid w:val="00D96C99"/>
    <w:rsid w:val="00DA39AC"/>
    <w:rsid w:val="00DA4AD4"/>
    <w:rsid w:val="00DA5575"/>
    <w:rsid w:val="00DA68D6"/>
    <w:rsid w:val="00DB5AF1"/>
    <w:rsid w:val="00DC3E50"/>
    <w:rsid w:val="00DC427B"/>
    <w:rsid w:val="00DE2035"/>
    <w:rsid w:val="00DE36BB"/>
    <w:rsid w:val="00DE74F0"/>
    <w:rsid w:val="00DF1DBE"/>
    <w:rsid w:val="00DF6262"/>
    <w:rsid w:val="00E01520"/>
    <w:rsid w:val="00E02C4F"/>
    <w:rsid w:val="00E0567D"/>
    <w:rsid w:val="00E06AE0"/>
    <w:rsid w:val="00E24F77"/>
    <w:rsid w:val="00E31DAB"/>
    <w:rsid w:val="00E32F70"/>
    <w:rsid w:val="00E32FBB"/>
    <w:rsid w:val="00E35D80"/>
    <w:rsid w:val="00E4267A"/>
    <w:rsid w:val="00E434AA"/>
    <w:rsid w:val="00E43BF5"/>
    <w:rsid w:val="00E443FB"/>
    <w:rsid w:val="00E52109"/>
    <w:rsid w:val="00E559B9"/>
    <w:rsid w:val="00E57818"/>
    <w:rsid w:val="00E6248E"/>
    <w:rsid w:val="00E63A02"/>
    <w:rsid w:val="00E703AE"/>
    <w:rsid w:val="00E828D6"/>
    <w:rsid w:val="00E87358"/>
    <w:rsid w:val="00E901D6"/>
    <w:rsid w:val="00E96EE4"/>
    <w:rsid w:val="00E97774"/>
    <w:rsid w:val="00EA0CA7"/>
    <w:rsid w:val="00EA1313"/>
    <w:rsid w:val="00EA51A2"/>
    <w:rsid w:val="00EB1030"/>
    <w:rsid w:val="00EB6FA5"/>
    <w:rsid w:val="00EB7ADA"/>
    <w:rsid w:val="00EC4812"/>
    <w:rsid w:val="00ED1C92"/>
    <w:rsid w:val="00ED25EB"/>
    <w:rsid w:val="00ED42D9"/>
    <w:rsid w:val="00ED72AD"/>
    <w:rsid w:val="00ED7307"/>
    <w:rsid w:val="00EE2F4A"/>
    <w:rsid w:val="00EE507F"/>
    <w:rsid w:val="00EF34A6"/>
    <w:rsid w:val="00EF5AF8"/>
    <w:rsid w:val="00EF5C59"/>
    <w:rsid w:val="00EF70DB"/>
    <w:rsid w:val="00EF7337"/>
    <w:rsid w:val="00F07A9D"/>
    <w:rsid w:val="00F11E29"/>
    <w:rsid w:val="00F1586A"/>
    <w:rsid w:val="00F213C2"/>
    <w:rsid w:val="00F218BB"/>
    <w:rsid w:val="00F223AE"/>
    <w:rsid w:val="00F24D05"/>
    <w:rsid w:val="00F30EF7"/>
    <w:rsid w:val="00F32423"/>
    <w:rsid w:val="00F42B94"/>
    <w:rsid w:val="00F42D26"/>
    <w:rsid w:val="00F43813"/>
    <w:rsid w:val="00F4705D"/>
    <w:rsid w:val="00F4787F"/>
    <w:rsid w:val="00F54ECC"/>
    <w:rsid w:val="00F56408"/>
    <w:rsid w:val="00F64368"/>
    <w:rsid w:val="00F65318"/>
    <w:rsid w:val="00F67B53"/>
    <w:rsid w:val="00F746FD"/>
    <w:rsid w:val="00F75C53"/>
    <w:rsid w:val="00F858BB"/>
    <w:rsid w:val="00F96152"/>
    <w:rsid w:val="00FA5007"/>
    <w:rsid w:val="00FB0F9C"/>
    <w:rsid w:val="00FB4F35"/>
    <w:rsid w:val="00FB65BF"/>
    <w:rsid w:val="00FC034D"/>
    <w:rsid w:val="00FC4CF3"/>
    <w:rsid w:val="00FC6F21"/>
    <w:rsid w:val="00FC7A35"/>
    <w:rsid w:val="00FD6D6A"/>
    <w:rsid w:val="00FE3D2D"/>
    <w:rsid w:val="00FF3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B2BFC"/>
  <w15:docId w15:val="{0A5E5FED-4BE7-436D-A818-7F7596E4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9601B"/>
    <w:rPr>
      <w:rFonts w:ascii="Tahoma" w:hAnsi="Tahoma" w:cs="Tahoma"/>
      <w:sz w:val="16"/>
      <w:szCs w:val="16"/>
    </w:rPr>
  </w:style>
  <w:style w:type="paragraph" w:styleId="ListParagraph">
    <w:name w:val="List Paragraph"/>
    <w:aliases w:val="JCRA List"/>
    <w:basedOn w:val="Normal"/>
    <w:link w:val="ListParagraphChar"/>
    <w:uiPriority w:val="34"/>
    <w:qFormat/>
    <w:rsid w:val="00C319CD"/>
    <w:pPr>
      <w:ind w:left="720"/>
      <w:contextualSpacing/>
    </w:pPr>
  </w:style>
  <w:style w:type="character" w:styleId="CommentReference">
    <w:name w:val="annotation reference"/>
    <w:basedOn w:val="DefaultParagraphFont"/>
    <w:uiPriority w:val="99"/>
    <w:semiHidden/>
    <w:unhideWhenUsed/>
    <w:rsid w:val="001A6E4E"/>
    <w:rPr>
      <w:sz w:val="16"/>
      <w:szCs w:val="16"/>
    </w:rPr>
  </w:style>
  <w:style w:type="paragraph" w:styleId="CommentText">
    <w:name w:val="annotation text"/>
    <w:basedOn w:val="Normal"/>
    <w:link w:val="CommentTextChar"/>
    <w:uiPriority w:val="99"/>
    <w:unhideWhenUsed/>
    <w:rsid w:val="001A6E4E"/>
    <w:rPr>
      <w:sz w:val="20"/>
      <w:szCs w:val="20"/>
    </w:rPr>
  </w:style>
  <w:style w:type="character" w:customStyle="1" w:styleId="CommentTextChar">
    <w:name w:val="Comment Text Char"/>
    <w:basedOn w:val="DefaultParagraphFont"/>
    <w:link w:val="CommentText"/>
    <w:uiPriority w:val="99"/>
    <w:rsid w:val="001A6E4E"/>
  </w:style>
  <w:style w:type="paragraph" w:styleId="CommentSubject">
    <w:name w:val="annotation subject"/>
    <w:basedOn w:val="CommentText"/>
    <w:next w:val="CommentText"/>
    <w:link w:val="CommentSubjectChar"/>
    <w:uiPriority w:val="99"/>
    <w:semiHidden/>
    <w:unhideWhenUsed/>
    <w:rsid w:val="001A6E4E"/>
    <w:rPr>
      <w:b/>
      <w:bCs/>
    </w:rPr>
  </w:style>
  <w:style w:type="character" w:customStyle="1" w:styleId="CommentSubjectChar">
    <w:name w:val="Comment Subject Char"/>
    <w:basedOn w:val="CommentTextChar"/>
    <w:link w:val="CommentSubject"/>
    <w:uiPriority w:val="99"/>
    <w:semiHidden/>
    <w:rsid w:val="001A6E4E"/>
    <w:rPr>
      <w:b/>
      <w:bCs/>
    </w:rPr>
  </w:style>
  <w:style w:type="paragraph" w:styleId="Header">
    <w:name w:val="header"/>
    <w:basedOn w:val="Normal"/>
    <w:link w:val="HeaderChar"/>
    <w:uiPriority w:val="99"/>
    <w:unhideWhenUsed/>
    <w:rsid w:val="001A6E4E"/>
    <w:pPr>
      <w:tabs>
        <w:tab w:val="center" w:pos="4513"/>
        <w:tab w:val="right" w:pos="9026"/>
      </w:tabs>
    </w:pPr>
  </w:style>
  <w:style w:type="character" w:customStyle="1" w:styleId="HeaderChar">
    <w:name w:val="Header Char"/>
    <w:basedOn w:val="DefaultParagraphFont"/>
    <w:link w:val="Header"/>
    <w:uiPriority w:val="99"/>
    <w:rsid w:val="001A6E4E"/>
    <w:rPr>
      <w:sz w:val="24"/>
      <w:szCs w:val="24"/>
    </w:rPr>
  </w:style>
  <w:style w:type="paragraph" w:styleId="Footer">
    <w:name w:val="footer"/>
    <w:basedOn w:val="Normal"/>
    <w:link w:val="FooterChar"/>
    <w:uiPriority w:val="99"/>
    <w:unhideWhenUsed/>
    <w:rsid w:val="001A6E4E"/>
    <w:pPr>
      <w:tabs>
        <w:tab w:val="center" w:pos="4513"/>
        <w:tab w:val="right" w:pos="9026"/>
      </w:tabs>
    </w:pPr>
  </w:style>
  <w:style w:type="character" w:customStyle="1" w:styleId="FooterChar">
    <w:name w:val="Footer Char"/>
    <w:basedOn w:val="DefaultParagraphFont"/>
    <w:link w:val="Footer"/>
    <w:uiPriority w:val="99"/>
    <w:rsid w:val="001A6E4E"/>
    <w:rPr>
      <w:sz w:val="24"/>
      <w:szCs w:val="24"/>
    </w:rPr>
  </w:style>
  <w:style w:type="paragraph" w:customStyle="1" w:styleId="DefaultText">
    <w:name w:val="Default Text"/>
    <w:basedOn w:val="Normal"/>
    <w:rsid w:val="00B310EA"/>
    <w:pPr>
      <w:tabs>
        <w:tab w:val="left" w:pos="0"/>
      </w:tabs>
      <w:overflowPunct w:val="0"/>
      <w:autoSpaceDE w:val="0"/>
      <w:autoSpaceDN w:val="0"/>
      <w:adjustRightInd w:val="0"/>
      <w:textAlignment w:val="baseline"/>
    </w:pPr>
    <w:rPr>
      <w:rFonts w:ascii="Arial" w:hAnsi="Arial"/>
      <w:color w:val="000000"/>
      <w:sz w:val="20"/>
      <w:szCs w:val="20"/>
      <w:lang w:val="en-US" w:eastAsia="en-US"/>
    </w:rPr>
  </w:style>
  <w:style w:type="table" w:customStyle="1" w:styleId="TableGrid1">
    <w:name w:val="Table Grid1"/>
    <w:basedOn w:val="TableNormal"/>
    <w:next w:val="TableGrid"/>
    <w:uiPriority w:val="39"/>
    <w:rsid w:val="00B310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31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JCRA List Char"/>
    <w:basedOn w:val="DefaultParagraphFont"/>
    <w:link w:val="ListParagraph"/>
    <w:uiPriority w:val="34"/>
    <w:locked/>
    <w:rsid w:val="003F5A00"/>
    <w:rPr>
      <w:sz w:val="24"/>
      <w:szCs w:val="24"/>
    </w:rPr>
  </w:style>
  <w:style w:type="paragraph" w:styleId="NormalWeb">
    <w:name w:val="Normal (Web)"/>
    <w:basedOn w:val="Normal"/>
    <w:uiPriority w:val="99"/>
    <w:semiHidden/>
    <w:unhideWhenUsed/>
    <w:rsid w:val="00CC3ABB"/>
    <w:pPr>
      <w:spacing w:before="100" w:beforeAutospacing="1" w:after="100" w:afterAutospacing="1"/>
    </w:pPr>
  </w:style>
  <w:style w:type="paragraph" w:styleId="FootnoteText">
    <w:name w:val="footnote text"/>
    <w:basedOn w:val="Normal"/>
    <w:link w:val="FootnoteTextChar"/>
    <w:uiPriority w:val="99"/>
    <w:semiHidden/>
    <w:unhideWhenUsed/>
    <w:rsid w:val="00ED72AD"/>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ED72AD"/>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ED72AD"/>
    <w:rPr>
      <w:vertAlign w:val="superscript"/>
    </w:rPr>
  </w:style>
  <w:style w:type="table" w:styleId="GridTable4-Accent1">
    <w:name w:val="Grid Table 4 Accent 1"/>
    <w:basedOn w:val="TableNormal"/>
    <w:uiPriority w:val="49"/>
    <w:rsid w:val="00ED72AD"/>
    <w:rPr>
      <w:rFonts w:asciiTheme="minorHAnsi" w:eastAsiaTheme="minorHAnsi" w:hAnsiTheme="minorHAnsi" w:cstheme="minorBidi"/>
      <w:kern w:val="2"/>
      <w:sz w:val="22"/>
      <w:szCs w:val="22"/>
      <w:lang w:eastAsia="en-US"/>
      <w14:ligatures w14:val="standardContextual"/>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6">
    <w:name w:val="Grid Table 1 Light Accent 6"/>
    <w:basedOn w:val="TableNormal"/>
    <w:uiPriority w:val="46"/>
    <w:rsid w:val="00ED72AD"/>
    <w:rPr>
      <w:rFonts w:asciiTheme="minorHAnsi" w:eastAsiaTheme="minorHAnsi" w:hAnsiTheme="minorHAnsi" w:cstheme="minorBidi"/>
      <w:kern w:val="2"/>
      <w:sz w:val="22"/>
      <w:szCs w:val="22"/>
      <w:lang w:eastAsia="en-US"/>
      <w14:ligatures w14:val="standardContextual"/>
    </w:rPr>
    <w:tblPr>
      <w:tblStyleRowBandSize w:val="1"/>
      <w:tblStyleColBandSize w:val="1"/>
      <w:tblInd w:w="0" w:type="nil"/>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next w:val="GridTable4-Accent1"/>
    <w:uiPriority w:val="49"/>
    <w:rsid w:val="00551FC0"/>
    <w:rPr>
      <w:rFonts w:ascii="Aptos" w:eastAsia="Aptos" w:hAnsi="Aptos"/>
      <w:kern w:val="2"/>
      <w:sz w:val="22"/>
      <w:szCs w:val="22"/>
      <w:lang w:eastAsia="en-US"/>
      <w14:ligatures w14:val="standardContextual"/>
    </w:rPr>
    <w:tblPr>
      <w:tblStyleRowBandSize w:val="1"/>
      <w:tblStyleColBandSize w:val="1"/>
      <w:tblInd w:w="0" w:type="nil"/>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GridTable1Light-Accent61">
    <w:name w:val="Grid Table 1 Light - Accent 61"/>
    <w:basedOn w:val="TableNormal"/>
    <w:next w:val="GridTable1Light-Accent6"/>
    <w:uiPriority w:val="46"/>
    <w:rsid w:val="00551FC0"/>
    <w:rPr>
      <w:rFonts w:ascii="Aptos" w:eastAsia="Aptos" w:hAnsi="Aptos"/>
      <w:kern w:val="2"/>
      <w:sz w:val="22"/>
      <w:szCs w:val="22"/>
      <w:lang w:eastAsia="en-US"/>
      <w14:ligatures w14:val="standardContextual"/>
    </w:rPr>
    <w:tblPr>
      <w:tblStyleRowBandSize w:val="1"/>
      <w:tblStyleColBandSize w:val="1"/>
      <w:tblInd w:w="0" w:type="nil"/>
      <w:tblBorders>
        <w:top w:val="single" w:sz="4" w:space="0" w:color="B3E5A1"/>
        <w:left w:val="single" w:sz="4" w:space="0" w:color="B3E5A1"/>
        <w:bottom w:val="single" w:sz="4" w:space="0" w:color="B3E5A1"/>
        <w:right w:val="single" w:sz="4" w:space="0" w:color="B3E5A1"/>
        <w:insideH w:val="single" w:sz="4" w:space="0" w:color="B3E5A1"/>
        <w:insideV w:val="single" w:sz="4" w:space="0" w:color="B3E5A1"/>
      </w:tblBorders>
    </w:tblPr>
    <w:tblStylePr w:type="firstRow">
      <w:rPr>
        <w:b/>
        <w:bCs/>
      </w:rPr>
      <w:tblPr/>
      <w:tcPr>
        <w:tcBorders>
          <w:bottom w:val="single" w:sz="12" w:space="0" w:color="8DD873"/>
        </w:tcBorders>
      </w:tcPr>
    </w:tblStylePr>
    <w:tblStylePr w:type="lastRow">
      <w:rPr>
        <w:b/>
        <w:bCs/>
      </w:rPr>
      <w:tblPr/>
      <w:tcPr>
        <w:tcBorders>
          <w:top w:val="double" w:sz="2" w:space="0" w:color="8DD873"/>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010CE2"/>
    <w:rPr>
      <w:color w:val="0000FF" w:themeColor="hyperlink"/>
      <w:u w:val="single"/>
    </w:rPr>
  </w:style>
  <w:style w:type="character" w:styleId="UnresolvedMention">
    <w:name w:val="Unresolved Mention"/>
    <w:basedOn w:val="DefaultParagraphFont"/>
    <w:uiPriority w:val="99"/>
    <w:semiHidden/>
    <w:unhideWhenUsed/>
    <w:rsid w:val="00010CE2"/>
    <w:rPr>
      <w:color w:val="605E5C"/>
      <w:shd w:val="clear" w:color="auto" w:fill="E1DFDD"/>
    </w:rPr>
  </w:style>
  <w:style w:type="paragraph" w:customStyle="1" w:styleId="TableParagraph">
    <w:name w:val="Table Paragraph"/>
    <w:basedOn w:val="Normal"/>
    <w:uiPriority w:val="1"/>
    <w:qFormat/>
    <w:rsid w:val="003F2A68"/>
    <w:pPr>
      <w:widowControl w:val="0"/>
      <w:autoSpaceDE w:val="0"/>
      <w:autoSpaceDN w:val="0"/>
    </w:pPr>
    <w:rPr>
      <w:rFonts w:ascii="Arial" w:eastAsia="Arial" w:hAnsi="Arial" w:cs="Arial"/>
      <w:sz w:val="22"/>
      <w:szCs w:val="22"/>
      <w:lang w:val="en-US" w:eastAsia="en-US"/>
    </w:rPr>
  </w:style>
  <w:style w:type="paragraph" w:styleId="NoSpacing">
    <w:name w:val="No Spacing"/>
    <w:uiPriority w:val="1"/>
    <w:qFormat/>
    <w:rsid w:val="00E63A02"/>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0546">
      <w:bodyDiv w:val="1"/>
      <w:marLeft w:val="0"/>
      <w:marRight w:val="0"/>
      <w:marTop w:val="0"/>
      <w:marBottom w:val="0"/>
      <w:divBdr>
        <w:top w:val="none" w:sz="0" w:space="0" w:color="auto"/>
        <w:left w:val="none" w:sz="0" w:space="0" w:color="auto"/>
        <w:bottom w:val="none" w:sz="0" w:space="0" w:color="auto"/>
        <w:right w:val="none" w:sz="0" w:space="0" w:color="auto"/>
      </w:divBdr>
      <w:divsChild>
        <w:div w:id="1721204454">
          <w:marLeft w:val="0"/>
          <w:marRight w:val="0"/>
          <w:marTop w:val="0"/>
          <w:marBottom w:val="0"/>
          <w:divBdr>
            <w:top w:val="none" w:sz="0" w:space="0" w:color="auto"/>
            <w:left w:val="none" w:sz="0" w:space="0" w:color="auto"/>
            <w:bottom w:val="none" w:sz="0" w:space="0" w:color="auto"/>
            <w:right w:val="none" w:sz="0" w:space="0" w:color="auto"/>
          </w:divBdr>
          <w:divsChild>
            <w:div w:id="1095252435">
              <w:marLeft w:val="0"/>
              <w:marRight w:val="0"/>
              <w:marTop w:val="0"/>
              <w:marBottom w:val="0"/>
              <w:divBdr>
                <w:top w:val="none" w:sz="0" w:space="0" w:color="auto"/>
                <w:left w:val="none" w:sz="0" w:space="0" w:color="auto"/>
                <w:bottom w:val="none" w:sz="0" w:space="0" w:color="auto"/>
                <w:right w:val="none" w:sz="0" w:space="0" w:color="auto"/>
              </w:divBdr>
              <w:divsChild>
                <w:div w:id="1765960055">
                  <w:marLeft w:val="0"/>
                  <w:marRight w:val="0"/>
                  <w:marTop w:val="0"/>
                  <w:marBottom w:val="0"/>
                  <w:divBdr>
                    <w:top w:val="none" w:sz="0" w:space="0" w:color="auto"/>
                    <w:left w:val="none" w:sz="0" w:space="0" w:color="auto"/>
                    <w:bottom w:val="none" w:sz="0" w:space="0" w:color="auto"/>
                    <w:right w:val="none" w:sz="0" w:space="0" w:color="auto"/>
                  </w:divBdr>
                </w:div>
                <w:div w:id="112336055">
                  <w:marLeft w:val="0"/>
                  <w:marRight w:val="0"/>
                  <w:marTop w:val="0"/>
                  <w:marBottom w:val="0"/>
                  <w:divBdr>
                    <w:top w:val="none" w:sz="0" w:space="0" w:color="auto"/>
                    <w:left w:val="none" w:sz="0" w:space="0" w:color="auto"/>
                    <w:bottom w:val="none" w:sz="0" w:space="0" w:color="auto"/>
                    <w:right w:val="none" w:sz="0" w:space="0" w:color="auto"/>
                  </w:divBdr>
                  <w:divsChild>
                    <w:div w:id="669523156">
                      <w:marLeft w:val="0"/>
                      <w:marRight w:val="0"/>
                      <w:marTop w:val="0"/>
                      <w:marBottom w:val="300"/>
                      <w:divBdr>
                        <w:top w:val="none" w:sz="0" w:space="0" w:color="auto"/>
                        <w:left w:val="none" w:sz="0" w:space="0" w:color="auto"/>
                        <w:bottom w:val="none" w:sz="0" w:space="0" w:color="auto"/>
                        <w:right w:val="none" w:sz="0" w:space="0" w:color="auto"/>
                      </w:divBdr>
                    </w:div>
                  </w:divsChild>
                </w:div>
                <w:div w:id="2078477988">
                  <w:marLeft w:val="0"/>
                  <w:marRight w:val="0"/>
                  <w:marTop w:val="0"/>
                  <w:marBottom w:val="0"/>
                  <w:divBdr>
                    <w:top w:val="none" w:sz="0" w:space="0" w:color="auto"/>
                    <w:left w:val="none" w:sz="0" w:space="0" w:color="auto"/>
                    <w:bottom w:val="none" w:sz="0" w:space="0" w:color="auto"/>
                    <w:right w:val="none" w:sz="0" w:space="0" w:color="auto"/>
                  </w:divBdr>
                  <w:divsChild>
                    <w:div w:id="749884972">
                      <w:marLeft w:val="0"/>
                      <w:marRight w:val="0"/>
                      <w:marTop w:val="0"/>
                      <w:marBottom w:val="0"/>
                      <w:divBdr>
                        <w:top w:val="none" w:sz="0" w:space="0" w:color="auto"/>
                        <w:left w:val="none" w:sz="0" w:space="0" w:color="auto"/>
                        <w:bottom w:val="none" w:sz="0" w:space="0" w:color="auto"/>
                        <w:right w:val="none" w:sz="0" w:space="0" w:color="auto"/>
                      </w:divBdr>
                      <w:divsChild>
                        <w:div w:id="196492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739853">
          <w:marLeft w:val="0"/>
          <w:marRight w:val="0"/>
          <w:marTop w:val="0"/>
          <w:marBottom w:val="0"/>
          <w:divBdr>
            <w:top w:val="none" w:sz="0" w:space="0" w:color="auto"/>
            <w:left w:val="none" w:sz="0" w:space="0" w:color="auto"/>
            <w:bottom w:val="none" w:sz="0" w:space="0" w:color="auto"/>
            <w:right w:val="none" w:sz="0" w:space="0" w:color="auto"/>
          </w:divBdr>
          <w:divsChild>
            <w:div w:id="184370028">
              <w:marLeft w:val="0"/>
              <w:marRight w:val="0"/>
              <w:marTop w:val="0"/>
              <w:marBottom w:val="0"/>
              <w:divBdr>
                <w:top w:val="none" w:sz="0" w:space="0" w:color="auto"/>
                <w:left w:val="none" w:sz="0" w:space="0" w:color="auto"/>
                <w:bottom w:val="none" w:sz="0" w:space="0" w:color="auto"/>
                <w:right w:val="none" w:sz="0" w:space="0" w:color="auto"/>
              </w:divBdr>
              <w:divsChild>
                <w:div w:id="1725250204">
                  <w:marLeft w:val="0"/>
                  <w:marRight w:val="0"/>
                  <w:marTop w:val="0"/>
                  <w:marBottom w:val="0"/>
                  <w:divBdr>
                    <w:top w:val="none" w:sz="0" w:space="0" w:color="auto"/>
                    <w:left w:val="none" w:sz="0" w:space="0" w:color="auto"/>
                    <w:bottom w:val="none" w:sz="0" w:space="0" w:color="auto"/>
                    <w:right w:val="none" w:sz="0" w:space="0" w:color="auto"/>
                  </w:divBdr>
                </w:div>
                <w:div w:id="1410034749">
                  <w:marLeft w:val="0"/>
                  <w:marRight w:val="0"/>
                  <w:marTop w:val="0"/>
                  <w:marBottom w:val="0"/>
                  <w:divBdr>
                    <w:top w:val="none" w:sz="0" w:space="0" w:color="auto"/>
                    <w:left w:val="none" w:sz="0" w:space="0" w:color="auto"/>
                    <w:bottom w:val="none" w:sz="0" w:space="0" w:color="auto"/>
                    <w:right w:val="none" w:sz="0" w:space="0" w:color="auto"/>
                  </w:divBdr>
                  <w:divsChild>
                    <w:div w:id="1002778836">
                      <w:marLeft w:val="0"/>
                      <w:marRight w:val="0"/>
                      <w:marTop w:val="0"/>
                      <w:marBottom w:val="0"/>
                      <w:divBdr>
                        <w:top w:val="none" w:sz="0" w:space="0" w:color="auto"/>
                        <w:left w:val="none" w:sz="0" w:space="0" w:color="auto"/>
                        <w:bottom w:val="none" w:sz="0" w:space="0" w:color="auto"/>
                        <w:right w:val="none" w:sz="0" w:space="0" w:color="auto"/>
                      </w:divBdr>
                      <w:divsChild>
                        <w:div w:id="1914468465">
                          <w:marLeft w:val="0"/>
                          <w:marRight w:val="0"/>
                          <w:marTop w:val="0"/>
                          <w:marBottom w:val="0"/>
                          <w:divBdr>
                            <w:top w:val="none" w:sz="0" w:space="0" w:color="auto"/>
                            <w:left w:val="none" w:sz="0" w:space="0" w:color="auto"/>
                            <w:bottom w:val="none" w:sz="0" w:space="0" w:color="auto"/>
                            <w:right w:val="none" w:sz="0" w:space="0" w:color="auto"/>
                          </w:divBdr>
                          <w:divsChild>
                            <w:div w:id="1336882885">
                              <w:marLeft w:val="0"/>
                              <w:marRight w:val="0"/>
                              <w:marTop w:val="0"/>
                              <w:marBottom w:val="0"/>
                              <w:divBdr>
                                <w:top w:val="none" w:sz="0" w:space="0" w:color="auto"/>
                                <w:left w:val="none" w:sz="0" w:space="0" w:color="auto"/>
                                <w:bottom w:val="none" w:sz="0" w:space="0" w:color="auto"/>
                                <w:right w:val="none" w:sz="0" w:space="0" w:color="auto"/>
                              </w:divBdr>
                            </w:div>
                            <w:div w:id="998535736">
                              <w:marLeft w:val="0"/>
                              <w:marRight w:val="0"/>
                              <w:marTop w:val="0"/>
                              <w:marBottom w:val="0"/>
                              <w:divBdr>
                                <w:top w:val="none" w:sz="0" w:space="0" w:color="auto"/>
                                <w:left w:val="none" w:sz="0" w:space="0" w:color="auto"/>
                                <w:bottom w:val="none" w:sz="0" w:space="0" w:color="auto"/>
                                <w:right w:val="none" w:sz="0" w:space="0" w:color="auto"/>
                              </w:divBdr>
                            </w:div>
                            <w:div w:id="170147373">
                              <w:marLeft w:val="0"/>
                              <w:marRight w:val="0"/>
                              <w:marTop w:val="0"/>
                              <w:marBottom w:val="0"/>
                              <w:divBdr>
                                <w:top w:val="none" w:sz="0" w:space="0" w:color="auto"/>
                                <w:left w:val="none" w:sz="0" w:space="0" w:color="auto"/>
                                <w:bottom w:val="none" w:sz="0" w:space="0" w:color="auto"/>
                                <w:right w:val="none" w:sz="0" w:space="0" w:color="auto"/>
                              </w:divBdr>
                            </w:div>
                            <w:div w:id="1814516086">
                              <w:marLeft w:val="0"/>
                              <w:marRight w:val="0"/>
                              <w:marTop w:val="0"/>
                              <w:marBottom w:val="0"/>
                              <w:divBdr>
                                <w:top w:val="none" w:sz="0" w:space="0" w:color="auto"/>
                                <w:left w:val="none" w:sz="0" w:space="0" w:color="auto"/>
                                <w:bottom w:val="none" w:sz="0" w:space="0" w:color="auto"/>
                                <w:right w:val="none" w:sz="0" w:space="0" w:color="auto"/>
                              </w:divBdr>
                            </w:div>
                            <w:div w:id="807167797">
                              <w:marLeft w:val="0"/>
                              <w:marRight w:val="0"/>
                              <w:marTop w:val="0"/>
                              <w:marBottom w:val="0"/>
                              <w:divBdr>
                                <w:top w:val="none" w:sz="0" w:space="0" w:color="auto"/>
                                <w:left w:val="none" w:sz="0" w:space="0" w:color="auto"/>
                                <w:bottom w:val="none" w:sz="0" w:space="0" w:color="auto"/>
                                <w:right w:val="none" w:sz="0" w:space="0" w:color="auto"/>
                              </w:divBdr>
                            </w:div>
                            <w:div w:id="19267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451040">
          <w:marLeft w:val="0"/>
          <w:marRight w:val="0"/>
          <w:marTop w:val="0"/>
          <w:marBottom w:val="0"/>
          <w:divBdr>
            <w:top w:val="none" w:sz="0" w:space="0" w:color="auto"/>
            <w:left w:val="none" w:sz="0" w:space="0" w:color="auto"/>
            <w:bottom w:val="none" w:sz="0" w:space="0" w:color="auto"/>
            <w:right w:val="none" w:sz="0" w:space="0" w:color="auto"/>
          </w:divBdr>
          <w:divsChild>
            <w:div w:id="1636179921">
              <w:marLeft w:val="0"/>
              <w:marRight w:val="0"/>
              <w:marTop w:val="0"/>
              <w:marBottom w:val="0"/>
              <w:divBdr>
                <w:top w:val="none" w:sz="0" w:space="0" w:color="auto"/>
                <w:left w:val="none" w:sz="0" w:space="0" w:color="auto"/>
                <w:bottom w:val="none" w:sz="0" w:space="0" w:color="auto"/>
                <w:right w:val="none" w:sz="0" w:space="0" w:color="auto"/>
              </w:divBdr>
              <w:divsChild>
                <w:div w:id="2026900260">
                  <w:marLeft w:val="0"/>
                  <w:marRight w:val="0"/>
                  <w:marTop w:val="0"/>
                  <w:marBottom w:val="0"/>
                  <w:divBdr>
                    <w:top w:val="none" w:sz="0" w:space="0" w:color="auto"/>
                    <w:left w:val="none" w:sz="0" w:space="0" w:color="auto"/>
                    <w:bottom w:val="none" w:sz="0" w:space="0" w:color="auto"/>
                    <w:right w:val="none" w:sz="0" w:space="0" w:color="auto"/>
                  </w:divBdr>
                </w:div>
                <w:div w:id="1874801553">
                  <w:marLeft w:val="0"/>
                  <w:marRight w:val="0"/>
                  <w:marTop w:val="0"/>
                  <w:marBottom w:val="0"/>
                  <w:divBdr>
                    <w:top w:val="none" w:sz="0" w:space="0" w:color="auto"/>
                    <w:left w:val="none" w:sz="0" w:space="0" w:color="auto"/>
                    <w:bottom w:val="none" w:sz="0" w:space="0" w:color="auto"/>
                    <w:right w:val="none" w:sz="0" w:space="0" w:color="auto"/>
                  </w:divBdr>
                  <w:divsChild>
                    <w:div w:id="570965189">
                      <w:marLeft w:val="0"/>
                      <w:marRight w:val="0"/>
                      <w:marTop w:val="0"/>
                      <w:marBottom w:val="0"/>
                      <w:divBdr>
                        <w:top w:val="none" w:sz="0" w:space="0" w:color="auto"/>
                        <w:left w:val="none" w:sz="0" w:space="0" w:color="auto"/>
                        <w:bottom w:val="none" w:sz="0" w:space="0" w:color="auto"/>
                        <w:right w:val="none" w:sz="0" w:space="0" w:color="auto"/>
                      </w:divBdr>
                      <w:divsChild>
                        <w:div w:id="188953901">
                          <w:marLeft w:val="0"/>
                          <w:marRight w:val="0"/>
                          <w:marTop w:val="0"/>
                          <w:marBottom w:val="0"/>
                          <w:divBdr>
                            <w:top w:val="none" w:sz="0" w:space="0" w:color="auto"/>
                            <w:left w:val="none" w:sz="0" w:space="0" w:color="auto"/>
                            <w:bottom w:val="none" w:sz="0" w:space="0" w:color="auto"/>
                            <w:right w:val="none" w:sz="0" w:space="0" w:color="auto"/>
                          </w:divBdr>
                          <w:divsChild>
                            <w:div w:id="1734348803">
                              <w:marLeft w:val="0"/>
                              <w:marRight w:val="0"/>
                              <w:marTop w:val="0"/>
                              <w:marBottom w:val="0"/>
                              <w:divBdr>
                                <w:top w:val="none" w:sz="0" w:space="0" w:color="auto"/>
                                <w:left w:val="none" w:sz="0" w:space="0" w:color="auto"/>
                                <w:bottom w:val="none" w:sz="0" w:space="0" w:color="auto"/>
                                <w:right w:val="none" w:sz="0" w:space="0" w:color="auto"/>
                              </w:divBdr>
                            </w:div>
                            <w:div w:id="1022244074">
                              <w:marLeft w:val="0"/>
                              <w:marRight w:val="0"/>
                              <w:marTop w:val="0"/>
                              <w:marBottom w:val="0"/>
                              <w:divBdr>
                                <w:top w:val="none" w:sz="0" w:space="0" w:color="auto"/>
                                <w:left w:val="none" w:sz="0" w:space="0" w:color="auto"/>
                                <w:bottom w:val="none" w:sz="0" w:space="0" w:color="auto"/>
                                <w:right w:val="none" w:sz="0" w:space="0" w:color="auto"/>
                              </w:divBdr>
                            </w:div>
                            <w:div w:id="64956961">
                              <w:marLeft w:val="0"/>
                              <w:marRight w:val="0"/>
                              <w:marTop w:val="0"/>
                              <w:marBottom w:val="0"/>
                              <w:divBdr>
                                <w:top w:val="none" w:sz="0" w:space="0" w:color="auto"/>
                                <w:left w:val="none" w:sz="0" w:space="0" w:color="auto"/>
                                <w:bottom w:val="none" w:sz="0" w:space="0" w:color="auto"/>
                                <w:right w:val="none" w:sz="0" w:space="0" w:color="auto"/>
                              </w:divBdr>
                            </w:div>
                            <w:div w:id="1409889308">
                              <w:marLeft w:val="0"/>
                              <w:marRight w:val="0"/>
                              <w:marTop w:val="0"/>
                              <w:marBottom w:val="0"/>
                              <w:divBdr>
                                <w:top w:val="none" w:sz="0" w:space="0" w:color="auto"/>
                                <w:left w:val="none" w:sz="0" w:space="0" w:color="auto"/>
                                <w:bottom w:val="none" w:sz="0" w:space="0" w:color="auto"/>
                                <w:right w:val="none" w:sz="0" w:space="0" w:color="auto"/>
                              </w:divBdr>
                            </w:div>
                            <w:div w:id="9061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1830">
          <w:marLeft w:val="0"/>
          <w:marRight w:val="0"/>
          <w:marTop w:val="0"/>
          <w:marBottom w:val="0"/>
          <w:divBdr>
            <w:top w:val="none" w:sz="0" w:space="0" w:color="auto"/>
            <w:left w:val="none" w:sz="0" w:space="0" w:color="auto"/>
            <w:bottom w:val="none" w:sz="0" w:space="0" w:color="auto"/>
            <w:right w:val="none" w:sz="0" w:space="0" w:color="auto"/>
          </w:divBdr>
          <w:divsChild>
            <w:div w:id="1911496684">
              <w:marLeft w:val="0"/>
              <w:marRight w:val="0"/>
              <w:marTop w:val="0"/>
              <w:marBottom w:val="0"/>
              <w:divBdr>
                <w:top w:val="none" w:sz="0" w:space="0" w:color="auto"/>
                <w:left w:val="none" w:sz="0" w:space="0" w:color="auto"/>
                <w:bottom w:val="none" w:sz="0" w:space="0" w:color="auto"/>
                <w:right w:val="none" w:sz="0" w:space="0" w:color="auto"/>
              </w:divBdr>
              <w:divsChild>
                <w:div w:id="1745295131">
                  <w:marLeft w:val="0"/>
                  <w:marRight w:val="0"/>
                  <w:marTop w:val="0"/>
                  <w:marBottom w:val="0"/>
                  <w:divBdr>
                    <w:top w:val="none" w:sz="0" w:space="0" w:color="auto"/>
                    <w:left w:val="none" w:sz="0" w:space="0" w:color="auto"/>
                    <w:bottom w:val="none" w:sz="0" w:space="0" w:color="auto"/>
                    <w:right w:val="none" w:sz="0" w:space="0" w:color="auto"/>
                  </w:divBdr>
                </w:div>
                <w:div w:id="2128349461">
                  <w:marLeft w:val="0"/>
                  <w:marRight w:val="0"/>
                  <w:marTop w:val="0"/>
                  <w:marBottom w:val="0"/>
                  <w:divBdr>
                    <w:top w:val="none" w:sz="0" w:space="0" w:color="auto"/>
                    <w:left w:val="none" w:sz="0" w:space="0" w:color="auto"/>
                    <w:bottom w:val="none" w:sz="0" w:space="0" w:color="auto"/>
                    <w:right w:val="none" w:sz="0" w:space="0" w:color="auto"/>
                  </w:divBdr>
                  <w:divsChild>
                    <w:div w:id="1065032963">
                      <w:marLeft w:val="0"/>
                      <w:marRight w:val="0"/>
                      <w:marTop w:val="0"/>
                      <w:marBottom w:val="0"/>
                      <w:divBdr>
                        <w:top w:val="none" w:sz="0" w:space="0" w:color="auto"/>
                        <w:left w:val="none" w:sz="0" w:space="0" w:color="auto"/>
                        <w:bottom w:val="none" w:sz="0" w:space="0" w:color="auto"/>
                        <w:right w:val="none" w:sz="0" w:space="0" w:color="auto"/>
                      </w:divBdr>
                      <w:divsChild>
                        <w:div w:id="1991714123">
                          <w:marLeft w:val="0"/>
                          <w:marRight w:val="0"/>
                          <w:marTop w:val="0"/>
                          <w:marBottom w:val="0"/>
                          <w:divBdr>
                            <w:top w:val="none" w:sz="0" w:space="0" w:color="auto"/>
                            <w:left w:val="none" w:sz="0" w:space="0" w:color="auto"/>
                            <w:bottom w:val="none" w:sz="0" w:space="0" w:color="auto"/>
                            <w:right w:val="none" w:sz="0" w:space="0" w:color="auto"/>
                          </w:divBdr>
                          <w:divsChild>
                            <w:div w:id="1800956148">
                              <w:marLeft w:val="0"/>
                              <w:marRight w:val="0"/>
                              <w:marTop w:val="0"/>
                              <w:marBottom w:val="0"/>
                              <w:divBdr>
                                <w:top w:val="none" w:sz="0" w:space="0" w:color="auto"/>
                                <w:left w:val="none" w:sz="0" w:space="0" w:color="auto"/>
                                <w:bottom w:val="none" w:sz="0" w:space="0" w:color="auto"/>
                                <w:right w:val="none" w:sz="0" w:space="0" w:color="auto"/>
                              </w:divBdr>
                            </w:div>
                            <w:div w:id="1830052919">
                              <w:marLeft w:val="0"/>
                              <w:marRight w:val="0"/>
                              <w:marTop w:val="0"/>
                              <w:marBottom w:val="0"/>
                              <w:divBdr>
                                <w:top w:val="none" w:sz="0" w:space="0" w:color="auto"/>
                                <w:left w:val="none" w:sz="0" w:space="0" w:color="auto"/>
                                <w:bottom w:val="none" w:sz="0" w:space="0" w:color="auto"/>
                                <w:right w:val="none" w:sz="0" w:space="0" w:color="auto"/>
                              </w:divBdr>
                            </w:div>
                            <w:div w:id="1091974896">
                              <w:marLeft w:val="0"/>
                              <w:marRight w:val="0"/>
                              <w:marTop w:val="0"/>
                              <w:marBottom w:val="0"/>
                              <w:divBdr>
                                <w:top w:val="none" w:sz="0" w:space="0" w:color="auto"/>
                                <w:left w:val="none" w:sz="0" w:space="0" w:color="auto"/>
                                <w:bottom w:val="none" w:sz="0" w:space="0" w:color="auto"/>
                                <w:right w:val="none" w:sz="0" w:space="0" w:color="auto"/>
                              </w:divBdr>
                            </w:div>
                            <w:div w:id="5281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312037">
      <w:bodyDiv w:val="1"/>
      <w:marLeft w:val="0"/>
      <w:marRight w:val="0"/>
      <w:marTop w:val="0"/>
      <w:marBottom w:val="0"/>
      <w:divBdr>
        <w:top w:val="none" w:sz="0" w:space="0" w:color="auto"/>
        <w:left w:val="none" w:sz="0" w:space="0" w:color="auto"/>
        <w:bottom w:val="none" w:sz="0" w:space="0" w:color="auto"/>
        <w:right w:val="none" w:sz="0" w:space="0" w:color="auto"/>
      </w:divBdr>
    </w:div>
    <w:div w:id="679504717">
      <w:bodyDiv w:val="1"/>
      <w:marLeft w:val="0"/>
      <w:marRight w:val="0"/>
      <w:marTop w:val="0"/>
      <w:marBottom w:val="0"/>
      <w:divBdr>
        <w:top w:val="none" w:sz="0" w:space="0" w:color="auto"/>
        <w:left w:val="none" w:sz="0" w:space="0" w:color="auto"/>
        <w:bottom w:val="none" w:sz="0" w:space="0" w:color="auto"/>
        <w:right w:val="none" w:sz="0" w:space="0" w:color="auto"/>
      </w:divBdr>
    </w:div>
    <w:div w:id="686751992">
      <w:bodyDiv w:val="1"/>
      <w:marLeft w:val="0"/>
      <w:marRight w:val="0"/>
      <w:marTop w:val="0"/>
      <w:marBottom w:val="0"/>
      <w:divBdr>
        <w:top w:val="none" w:sz="0" w:space="0" w:color="auto"/>
        <w:left w:val="none" w:sz="0" w:space="0" w:color="auto"/>
        <w:bottom w:val="none" w:sz="0" w:space="0" w:color="auto"/>
        <w:right w:val="none" w:sz="0" w:space="0" w:color="auto"/>
      </w:divBdr>
    </w:div>
    <w:div w:id="719748969">
      <w:bodyDiv w:val="1"/>
      <w:marLeft w:val="0"/>
      <w:marRight w:val="0"/>
      <w:marTop w:val="0"/>
      <w:marBottom w:val="0"/>
      <w:divBdr>
        <w:top w:val="none" w:sz="0" w:space="0" w:color="auto"/>
        <w:left w:val="none" w:sz="0" w:space="0" w:color="auto"/>
        <w:bottom w:val="none" w:sz="0" w:space="0" w:color="auto"/>
        <w:right w:val="none" w:sz="0" w:space="0" w:color="auto"/>
      </w:divBdr>
    </w:div>
    <w:div w:id="947472517">
      <w:bodyDiv w:val="1"/>
      <w:marLeft w:val="0"/>
      <w:marRight w:val="0"/>
      <w:marTop w:val="0"/>
      <w:marBottom w:val="0"/>
      <w:divBdr>
        <w:top w:val="none" w:sz="0" w:space="0" w:color="auto"/>
        <w:left w:val="none" w:sz="0" w:space="0" w:color="auto"/>
        <w:bottom w:val="none" w:sz="0" w:space="0" w:color="auto"/>
        <w:right w:val="none" w:sz="0" w:space="0" w:color="auto"/>
      </w:divBdr>
    </w:div>
    <w:div w:id="1031422692">
      <w:bodyDiv w:val="1"/>
      <w:marLeft w:val="0"/>
      <w:marRight w:val="0"/>
      <w:marTop w:val="0"/>
      <w:marBottom w:val="0"/>
      <w:divBdr>
        <w:top w:val="none" w:sz="0" w:space="0" w:color="auto"/>
        <w:left w:val="none" w:sz="0" w:space="0" w:color="auto"/>
        <w:bottom w:val="none" w:sz="0" w:space="0" w:color="auto"/>
        <w:right w:val="none" w:sz="0" w:space="0" w:color="auto"/>
      </w:divBdr>
    </w:div>
    <w:div w:id="1489401016">
      <w:bodyDiv w:val="1"/>
      <w:marLeft w:val="0"/>
      <w:marRight w:val="0"/>
      <w:marTop w:val="0"/>
      <w:marBottom w:val="0"/>
      <w:divBdr>
        <w:top w:val="none" w:sz="0" w:space="0" w:color="auto"/>
        <w:left w:val="none" w:sz="0" w:space="0" w:color="auto"/>
        <w:bottom w:val="none" w:sz="0" w:space="0" w:color="auto"/>
        <w:right w:val="none" w:sz="0" w:space="0" w:color="auto"/>
      </w:divBdr>
    </w:div>
    <w:div w:id="1642297938">
      <w:bodyDiv w:val="1"/>
      <w:marLeft w:val="0"/>
      <w:marRight w:val="0"/>
      <w:marTop w:val="0"/>
      <w:marBottom w:val="0"/>
      <w:divBdr>
        <w:top w:val="none" w:sz="0" w:space="0" w:color="auto"/>
        <w:left w:val="none" w:sz="0" w:space="0" w:color="auto"/>
        <w:bottom w:val="none" w:sz="0" w:space="0" w:color="auto"/>
        <w:right w:val="none" w:sz="0" w:space="0" w:color="auto"/>
      </w:divBdr>
    </w:div>
    <w:div w:id="1663268024">
      <w:bodyDiv w:val="1"/>
      <w:marLeft w:val="0"/>
      <w:marRight w:val="0"/>
      <w:marTop w:val="0"/>
      <w:marBottom w:val="0"/>
      <w:divBdr>
        <w:top w:val="none" w:sz="0" w:space="0" w:color="auto"/>
        <w:left w:val="none" w:sz="0" w:space="0" w:color="auto"/>
        <w:bottom w:val="none" w:sz="0" w:space="0" w:color="auto"/>
        <w:right w:val="none" w:sz="0" w:space="0" w:color="auto"/>
      </w:divBdr>
    </w:div>
    <w:div w:id="1780371342">
      <w:bodyDiv w:val="1"/>
      <w:marLeft w:val="0"/>
      <w:marRight w:val="0"/>
      <w:marTop w:val="0"/>
      <w:marBottom w:val="0"/>
      <w:divBdr>
        <w:top w:val="none" w:sz="0" w:space="0" w:color="auto"/>
        <w:left w:val="none" w:sz="0" w:space="0" w:color="auto"/>
        <w:bottom w:val="none" w:sz="0" w:space="0" w:color="auto"/>
        <w:right w:val="none" w:sz="0" w:space="0" w:color="auto"/>
      </w:divBdr>
    </w:div>
    <w:div w:id="2009868056">
      <w:bodyDiv w:val="1"/>
      <w:marLeft w:val="0"/>
      <w:marRight w:val="0"/>
      <w:marTop w:val="0"/>
      <w:marBottom w:val="0"/>
      <w:divBdr>
        <w:top w:val="none" w:sz="0" w:space="0" w:color="auto"/>
        <w:left w:val="none" w:sz="0" w:space="0" w:color="auto"/>
        <w:bottom w:val="none" w:sz="0" w:space="0" w:color="auto"/>
        <w:right w:val="none" w:sz="0" w:space="0" w:color="auto"/>
      </w:divBdr>
    </w:div>
    <w:div w:id="2042320971">
      <w:bodyDiv w:val="1"/>
      <w:marLeft w:val="0"/>
      <w:marRight w:val="0"/>
      <w:marTop w:val="0"/>
      <w:marBottom w:val="0"/>
      <w:divBdr>
        <w:top w:val="none" w:sz="0" w:space="0" w:color="auto"/>
        <w:left w:val="none" w:sz="0" w:space="0" w:color="auto"/>
        <w:bottom w:val="none" w:sz="0" w:space="0" w:color="auto"/>
        <w:right w:val="none" w:sz="0" w:space="0" w:color="auto"/>
      </w:divBdr>
    </w:div>
    <w:div w:id="2066754627">
      <w:bodyDiv w:val="1"/>
      <w:marLeft w:val="0"/>
      <w:marRight w:val="0"/>
      <w:marTop w:val="0"/>
      <w:marBottom w:val="0"/>
      <w:divBdr>
        <w:top w:val="none" w:sz="0" w:space="0" w:color="auto"/>
        <w:left w:val="none" w:sz="0" w:space="0" w:color="auto"/>
        <w:bottom w:val="none" w:sz="0" w:space="0" w:color="auto"/>
        <w:right w:val="none" w:sz="0" w:space="0" w:color="auto"/>
      </w:divBdr>
    </w:div>
    <w:div w:id="21209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62CB0-8A96-4513-95A9-6F1D7F9C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Framework Housing Association</vt:lpstr>
    </vt:vector>
  </TitlesOfParts>
  <Company>Framework Housing Association</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Housing Association</dc:title>
  <dc:creator>john.millard</dc:creator>
  <cp:lastModifiedBy>Stacey Murton</cp:lastModifiedBy>
  <cp:revision>2</cp:revision>
  <cp:lastPrinted>2010-06-10T09:49:00Z</cp:lastPrinted>
  <dcterms:created xsi:type="dcterms:W3CDTF">2025-09-22T15:48:00Z</dcterms:created>
  <dcterms:modified xsi:type="dcterms:W3CDTF">2025-09-22T15:48:00Z</dcterms:modified>
</cp:coreProperties>
</file>